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60288"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60288;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0"/>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Borders>
            <w:top w:val="none" w:sz="0" w:space="0"/>
            <w:left w:val="none" w:sz="0" w:space="0"/>
            <w:bottom w:val="none" w:sz="0" w:space="0"/>
            <w:right w:val="none" w:sz="0" w:space="0"/>
          </w:pgBorders>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3</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ascii="仿宋_GB2312" w:hAnsi="宋体" w:eastAsia="仿宋_GB2312" w:cs="仿宋"/>
          <w:b/>
          <w:bCs/>
          <w:color w:val="auto"/>
          <w:sz w:val="28"/>
          <w:szCs w:val="28"/>
        </w:rPr>
      </w:pPr>
      <w:r>
        <w:rPr>
          <w:rFonts w:hint="eastAsia" w:ascii="仿宋_GB2312" w:hAnsi="宋体" w:eastAsia="仿宋_GB2312" w:cs="仿宋"/>
          <w:b/>
          <w:bCs/>
          <w:color w:val="auto"/>
          <w:sz w:val="28"/>
          <w:szCs w:val="28"/>
        </w:rPr>
        <w:t>附件</w:t>
      </w:r>
      <w:r>
        <w:rPr>
          <w:rFonts w:hint="eastAsia" w:ascii="仿宋_GB2312" w:hAnsi="宋体" w:eastAsia="仿宋_GB2312" w:cs="仿宋"/>
          <w:b/>
          <w:bCs/>
          <w:color w:val="auto"/>
          <w:sz w:val="28"/>
          <w:szCs w:val="28"/>
          <w:lang w:eastAsia="zh-CN"/>
        </w:rPr>
        <w:t>五</w:t>
      </w:r>
      <w:r>
        <w:rPr>
          <w:rFonts w:hint="eastAsia" w:ascii="仿宋_GB2312" w:hAnsi="宋体" w:eastAsia="仿宋_GB2312" w:cs="仿宋"/>
          <w:b/>
          <w:bCs/>
          <w:color w:val="auto"/>
          <w:sz w:val="28"/>
          <w:szCs w:val="28"/>
        </w:rPr>
        <w:t>：</w:t>
      </w:r>
    </w:p>
    <w:p>
      <w:pPr>
        <w:pStyle w:val="6"/>
        <w:spacing w:line="560" w:lineRule="exact"/>
        <w:jc w:val="center"/>
        <w:rPr>
          <w:rFonts w:ascii="华文中宋" w:hAnsi="华文中宋" w:eastAsia="华文中宋" w:cs="宋体"/>
          <w:bCs/>
          <w:color w:val="FF0000"/>
          <w:w w:val="80"/>
          <w:sz w:val="56"/>
          <w:szCs w:val="56"/>
        </w:rPr>
      </w:pPr>
      <w:r>
        <w:rPr>
          <w:rFonts w:hint="eastAsia" w:ascii="华文中宋" w:hAnsi="华文中宋" w:eastAsia="华文中宋" w:cs="宋体"/>
          <w:bCs/>
          <w:color w:val="FF0000"/>
          <w:w w:val="80"/>
          <w:sz w:val="56"/>
          <w:szCs w:val="56"/>
        </w:rPr>
        <w:t>首钢长治钢铁有限公司</w:t>
      </w:r>
    </w:p>
    <w:p>
      <w:pPr>
        <w:pStyle w:val="6"/>
        <w:spacing w:line="560" w:lineRule="exact"/>
        <w:jc w:val="center"/>
        <w:rPr>
          <w:rFonts w:ascii="华文中宋" w:hAnsi="华文中宋" w:eastAsia="华文中宋" w:cs="宋体"/>
          <w:bCs/>
          <w:color w:val="FF0000"/>
          <w:w w:val="80"/>
          <w:sz w:val="56"/>
          <w:szCs w:val="56"/>
        </w:rPr>
      </w:pPr>
      <w:r>
        <w:rPr>
          <w:rFonts w:hint="eastAsia" w:ascii="华文中宋" w:hAnsi="华文中宋" w:eastAsia="华文中宋" w:cs="宋体"/>
          <w:bCs/>
          <w:color w:val="FF0000"/>
          <w:w w:val="80"/>
          <w:sz w:val="56"/>
          <w:szCs w:val="56"/>
        </w:rPr>
        <w:t>法务审计处文件</w:t>
      </w:r>
    </w:p>
    <w:p>
      <w:pPr>
        <w:pStyle w:val="6"/>
        <w:spacing w:line="560" w:lineRule="exact"/>
        <w:jc w:val="center"/>
        <w:rPr>
          <w:rFonts w:ascii="仿宋_GB2312" w:hAnsi="宋体" w:eastAsia="仿宋_GB2312" w:cs="宋体"/>
          <w:color w:val="auto"/>
          <w:sz w:val="32"/>
        </w:rPr>
      </w:pPr>
      <w:bookmarkStart w:id="1" w:name="string1"/>
      <w:bookmarkEnd w:id="1"/>
      <w:bookmarkStart w:id="2" w:name="文号"/>
      <w:r>
        <w:rPr>
          <w:rFonts w:hint="eastAsia" w:ascii="仿宋_GB2312" w:hAnsi="宋体" w:eastAsia="仿宋_GB2312" w:cs="宋体"/>
          <w:color w:val="auto"/>
          <w:sz w:val="32"/>
        </w:rPr>
        <w:t>长钢法审发〔2019〕76号</w:t>
      </w:r>
      <w:bookmarkEnd w:id="2"/>
    </w:p>
    <w:p>
      <w:pPr>
        <w:pStyle w:val="6"/>
        <w:spacing w:line="560" w:lineRule="exact"/>
        <w:jc w:val="center"/>
        <w:rPr>
          <w:rFonts w:hAnsi="宋体" w:cs="宋体"/>
          <w:b/>
          <w:bCs/>
          <w:color w:val="auto"/>
          <w:sz w:val="36"/>
        </w:rPr>
      </w:pPr>
      <w:r>
        <w:rPr>
          <w:color w:val="auto"/>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202565</wp:posOffset>
                </wp:positionV>
                <wp:extent cx="5485765" cy="635"/>
                <wp:effectExtent l="0" t="0" r="0" b="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5485765" cy="635"/>
                        </a:xfrm>
                        <a:prstGeom prst="line">
                          <a:avLst/>
                        </a:prstGeom>
                        <a:noFill/>
                        <a:ln w="19050">
                          <a:solidFill>
                            <a:srgbClr val="FF0000"/>
                          </a:solidFill>
                          <a:round/>
                        </a:ln>
                        <a:effectLst/>
                      </wps:spPr>
                      <wps:bodyPr/>
                    </wps:wsp>
                  </a:graphicData>
                </a:graphic>
              </wp:anchor>
            </w:drawing>
          </mc:Choice>
          <mc:Fallback>
            <w:pict>
              <v:line id="_x0000_s1026" o:spid="_x0000_s1026" o:spt="20" style="position:absolute;left:0pt;margin-left:-8.95pt;margin-top:15.95pt;height:0.05pt;width:431.95pt;z-index:251659264;mso-width-relative:page;mso-height-relative:page;" filled="f" stroked="t" coordsize="21600,21600" o:gfxdata="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XiVxi2gAAAAkBAAAPAAAAAAAAAAEAIAAAACIAAABkcnMvZG93bnJldi54bWxQSwECFAAU&#10;AAAACACHTuJAQebSQu8BAAC9AwAADgAAAAAAAAABACAAAAApAQAAZHJzL2Uyb0RvYy54bWxQSwUG&#10;AAAAAAYABgBZAQAAigUAAAAA&#10;">
                <v:fill on="f" focussize="0,0"/>
                <v:stroke weight="1.5pt" color="#FF0000" joinstyle="round"/>
                <v:imagedata o:title=""/>
                <o:lock v:ext="edit" aspectratio="f"/>
              </v:line>
            </w:pict>
          </mc:Fallback>
        </mc:AlternateContent>
      </w:r>
    </w:p>
    <w:p>
      <w:pPr>
        <w:pStyle w:val="6"/>
        <w:spacing w:line="560" w:lineRule="exact"/>
        <w:jc w:val="center"/>
        <w:rPr>
          <w:rFonts w:hAnsi="宋体" w:cs="宋体"/>
          <w:b/>
          <w:bCs/>
          <w:color w:val="auto"/>
          <w:sz w:val="44"/>
          <w:szCs w:val="44"/>
        </w:rPr>
      </w:pPr>
      <w:bookmarkStart w:id="3" w:name="发文标题"/>
      <w:r>
        <w:rPr>
          <w:rFonts w:hint="eastAsia" w:hAnsi="宋体" w:cs="宋体"/>
          <w:b/>
          <w:bCs/>
          <w:color w:val="auto"/>
          <w:sz w:val="44"/>
          <w:szCs w:val="44"/>
        </w:rPr>
        <w:t>法务审计处关于规范投标单位资质审核等有关事项的通知</w:t>
      </w:r>
      <w:bookmarkEnd w:id="3"/>
      <w:bookmarkStart w:id="4" w:name="subject"/>
      <w:bookmarkEnd w:id="4"/>
    </w:p>
    <w:p>
      <w:pPr>
        <w:widowControl/>
        <w:spacing w:line="500" w:lineRule="exact"/>
        <w:jc w:val="left"/>
        <w:rPr>
          <w:rFonts w:ascii="仿宋_GB2312" w:eastAsia="仿宋_GB2312"/>
          <w:color w:val="auto"/>
          <w:sz w:val="32"/>
        </w:rPr>
      </w:pPr>
      <w:r>
        <w:rPr>
          <w:rFonts w:hint="eastAsia" w:ascii="仿宋_GB2312" w:eastAsia="仿宋_GB2312"/>
          <w:color w:val="auto"/>
          <w:sz w:val="32"/>
        </w:rPr>
        <w:t>公司</w:t>
      </w:r>
      <w:r>
        <w:rPr>
          <w:rFonts w:ascii="仿宋_GB2312" w:eastAsia="仿宋_GB2312"/>
          <w:color w:val="auto"/>
          <w:sz w:val="32"/>
        </w:rPr>
        <w:t>各</w:t>
      </w:r>
      <w:r>
        <w:rPr>
          <w:rFonts w:hint="eastAsia" w:ascii="仿宋_GB2312" w:eastAsia="仿宋_GB2312"/>
          <w:color w:val="auto"/>
          <w:sz w:val="32"/>
        </w:rPr>
        <w:t>相关</w:t>
      </w:r>
      <w:r>
        <w:rPr>
          <w:rFonts w:ascii="仿宋_GB2312" w:eastAsia="仿宋_GB2312"/>
          <w:color w:val="auto"/>
          <w:sz w:val="32"/>
        </w:rPr>
        <w:t>单位：</w:t>
      </w:r>
    </w:p>
    <w:p>
      <w:pPr>
        <w:widowControl/>
        <w:spacing w:line="500" w:lineRule="exact"/>
        <w:ind w:firstLine="660"/>
        <w:jc w:val="left"/>
        <w:rPr>
          <w:rFonts w:ascii="仿宋_GB2312" w:eastAsia="仿宋_GB2312"/>
          <w:color w:val="auto"/>
          <w:sz w:val="32"/>
        </w:rPr>
      </w:pPr>
      <w:r>
        <w:rPr>
          <w:rFonts w:hint="eastAsia" w:ascii="仿宋_GB2312" w:eastAsia="仿宋_GB2312"/>
          <w:color w:val="auto"/>
          <w:sz w:val="32"/>
          <w:szCs w:val="32"/>
        </w:rPr>
        <w:t>为进一步规范我公司招标（竞价）活动中的资质审核工作，</w:t>
      </w:r>
      <w:r>
        <w:rPr>
          <w:rFonts w:hint="eastAsia" w:ascii="仿宋_GB2312" w:eastAsia="仿宋_GB2312"/>
          <w:color w:val="auto"/>
          <w:sz w:val="32"/>
        </w:rPr>
        <w:t>切实消除资质审核隐患</w:t>
      </w:r>
      <w:r>
        <w:rPr>
          <w:rFonts w:hint="eastAsia" w:ascii="仿宋_GB2312" w:eastAsia="仿宋_GB2312"/>
          <w:color w:val="auto"/>
          <w:sz w:val="32"/>
          <w:szCs w:val="32"/>
        </w:rPr>
        <w:t>，</w:t>
      </w:r>
      <w:r>
        <w:rPr>
          <w:rFonts w:hint="eastAsia" w:ascii="仿宋_GB2312" w:eastAsia="仿宋_GB2312"/>
          <w:color w:val="auto"/>
          <w:sz w:val="32"/>
        </w:rPr>
        <w:t>进一步防范法律风险，构建公开公平公正的竞争秩序，维护公司合法权益，现就规范投标（竞价）人资质审核等有关事项通知如下：</w:t>
      </w:r>
    </w:p>
    <w:p>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一、招标（竞价）组织单位在发布的招标（竞价）文件或方案中，对投标（竞价）人的主体资格表述要客观公正合法合理。对投标（竞价）人所应具备的资质务必表述清晰明了便于操作。</w:t>
      </w:r>
    </w:p>
    <w:p>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二、采购中心招标办及招标（竞价）组织单位应按制度要求认真完成投标（竞价）人各类资质（原件）的预审工作，切实做好前期的风险控制。相关资质等必须要求携带原件。资质存疑时，应及时与专业部门沟通联系确认解决，不允许将存在问题的资质延续到开标当日。</w:t>
      </w:r>
    </w:p>
    <w:p>
      <w:pPr>
        <w:widowControl/>
        <w:spacing w:line="500" w:lineRule="exact"/>
        <w:ind w:firstLine="660"/>
        <w:jc w:val="left"/>
        <w:rPr>
          <w:rFonts w:ascii="仿宋_GB2312" w:eastAsia="仿宋_GB2312"/>
          <w:color w:val="auto"/>
          <w:sz w:val="32"/>
        </w:rPr>
      </w:pPr>
      <w:r>
        <w:rPr>
          <w:rFonts w:hint="eastAsia" w:ascii="仿宋_GB2312" w:eastAsia="仿宋_GB2312"/>
          <w:color w:val="auto"/>
          <w:sz w:val="32"/>
        </w:rPr>
        <w:t>三、参加投标（竞价）的单位必须提供加盖本单位行政印鉴的营业执照、专项资质、法人授权委托书。授权委托书除加盖投标（竞价）人行政印鉴外，法定代表人必须在授权委托书上签字</w:t>
      </w:r>
      <w:r>
        <w:rPr>
          <w:rFonts w:hint="eastAsia" w:ascii="仿宋_GB2312" w:eastAsia="仿宋_GB2312"/>
          <w:b/>
          <w:color w:val="auto"/>
          <w:sz w:val="32"/>
        </w:rPr>
        <w:t>并</w:t>
      </w:r>
      <w:r>
        <w:rPr>
          <w:rFonts w:hint="eastAsia" w:ascii="仿宋_GB2312" w:eastAsia="仿宋_GB2312"/>
          <w:color w:val="auto"/>
          <w:sz w:val="32"/>
        </w:rPr>
        <w:t>加盖法定代表人名章。不合要求者，不允许参加投标。</w:t>
      </w:r>
    </w:p>
    <w:p>
      <w:pPr>
        <w:widowControl/>
        <w:spacing w:line="500" w:lineRule="exact"/>
        <w:ind w:firstLine="660"/>
        <w:jc w:val="left"/>
        <w:rPr>
          <w:rFonts w:ascii="仿宋_GB2312" w:eastAsia="仿宋_GB2312"/>
          <w:color w:val="auto"/>
          <w:sz w:val="32"/>
        </w:rPr>
      </w:pPr>
      <w:r>
        <w:rPr>
          <w:rFonts w:hint="eastAsia" w:ascii="仿宋_GB2312" w:eastAsia="仿宋_GB2312"/>
          <w:color w:val="auto"/>
          <w:sz w:val="32"/>
        </w:rPr>
        <w:t>参加投标竞价授权委托书中的授权范围必须明确，授权期限最长为三个月。招标（竞价）文件附有授权委托书格式的，必须使用标准格式。</w:t>
      </w:r>
    </w:p>
    <w:p>
      <w:pPr>
        <w:widowControl/>
        <w:spacing w:line="500" w:lineRule="exact"/>
        <w:ind w:firstLine="660"/>
        <w:jc w:val="left"/>
        <w:rPr>
          <w:rFonts w:ascii="仿宋_GB2312" w:eastAsia="仿宋_GB2312"/>
          <w:color w:val="auto"/>
          <w:sz w:val="32"/>
        </w:rPr>
      </w:pPr>
      <w:r>
        <w:rPr>
          <w:rFonts w:hint="eastAsia" w:ascii="仿宋_GB2312" w:eastAsia="仿宋_GB2312"/>
          <w:color w:val="auto"/>
          <w:sz w:val="32"/>
        </w:rPr>
        <w:t>中标人（竞得人）在签订合同时，必须另行出具规范的授权委托书。</w:t>
      </w:r>
    </w:p>
    <w:p>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四、严厉禁止借用资质参加投标或竞价，严厉禁止以委托的形式借用资质规避监管。委托人应为签约人，应为合同的实际履行人。</w:t>
      </w:r>
    </w:p>
    <w:p>
      <w:pPr>
        <w:widowControl/>
        <w:spacing w:line="500" w:lineRule="exact"/>
        <w:ind w:firstLine="660"/>
        <w:jc w:val="left"/>
        <w:rPr>
          <w:rFonts w:ascii="仿宋_GB2312" w:eastAsia="仿宋_GB2312"/>
          <w:color w:val="auto"/>
          <w:sz w:val="32"/>
        </w:rPr>
      </w:pPr>
      <w:r>
        <w:rPr>
          <w:rFonts w:hint="eastAsia" w:ascii="仿宋_GB2312" w:eastAsia="仿宋_GB2312"/>
          <w:color w:val="auto"/>
          <w:sz w:val="32"/>
        </w:rPr>
        <w:t>五、招标（竞价）文件或方案中必须明确业经发现资质业绩等造假行为，投标（竞价）人的保证金将被全额没收。投标（竞价）人所有加盖的印鉴及签字，必须同在我公司客户资信库中留存的资料完全一致。造假者经核实并经公司同意，列入公司黑名单。</w:t>
      </w:r>
    </w:p>
    <w:p>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六、涉及环保手续需相关专业部门联合审查资质的竞价项目，竞价组织单位及招标办应提前告知相关专业部门，并预留出足够的资质审核时间，以便提高竞价效率。</w:t>
      </w:r>
    </w:p>
    <w:p>
      <w:pPr>
        <w:widowControl/>
        <w:spacing w:line="500" w:lineRule="exact"/>
        <w:ind w:firstLine="640"/>
        <w:jc w:val="left"/>
        <w:rPr>
          <w:rFonts w:ascii="仿宋_GB2312" w:eastAsia="仿宋_GB2312"/>
          <w:color w:val="auto"/>
          <w:sz w:val="32"/>
        </w:rPr>
      </w:pPr>
      <w:r>
        <w:rPr>
          <w:rFonts w:hint="eastAsia" w:ascii="仿宋_GB2312" w:eastAsia="仿宋_GB2312"/>
          <w:color w:val="auto"/>
          <w:sz w:val="32"/>
        </w:rPr>
        <w:t>七、采购中心招标办对与本通知有冲突、遗漏之处，立即按本通知要求修订完善《竞价管理办法》、《物资采购招投标管理办法》、</w:t>
      </w:r>
      <w:r>
        <w:rPr>
          <w:rFonts w:hint="eastAsia" w:ascii="仿宋_GB2312" w:hAnsi="Times New Roman" w:eastAsia="仿宋_GB2312" w:cs="Times New Roman"/>
          <w:color w:val="auto"/>
          <w:sz w:val="32"/>
        </w:rPr>
        <w:t>《建设工程招投标管理办法》</w:t>
      </w:r>
      <w:r>
        <w:rPr>
          <w:rFonts w:hint="eastAsia" w:ascii="仿宋_GB2312" w:eastAsia="仿宋_GB2312"/>
          <w:color w:val="auto"/>
          <w:sz w:val="32"/>
        </w:rPr>
        <w:t>。</w:t>
      </w:r>
    </w:p>
    <w:p>
      <w:pPr>
        <w:widowControl/>
        <w:spacing w:line="500" w:lineRule="exact"/>
        <w:ind w:firstLine="640" w:firstLineChars="200"/>
        <w:jc w:val="left"/>
        <w:rPr>
          <w:rFonts w:ascii="仿宋_GB2312" w:eastAsia="仿宋_GB2312"/>
          <w:color w:val="auto"/>
          <w:sz w:val="32"/>
        </w:rPr>
      </w:pPr>
      <w:r>
        <w:rPr>
          <w:rFonts w:hint="eastAsia" w:ascii="仿宋_GB2312" w:eastAsia="仿宋_GB2312"/>
          <w:color w:val="auto"/>
          <w:sz w:val="32"/>
        </w:rPr>
        <w:t>八、违反本通知规定的计入合同管理违规行为，情节严重者纳入公司合同管理专业考核。</w:t>
      </w:r>
    </w:p>
    <w:p>
      <w:pPr>
        <w:widowControl/>
        <w:spacing w:line="500" w:lineRule="exact"/>
        <w:ind w:firstLine="640" w:firstLineChars="200"/>
        <w:jc w:val="left"/>
        <w:rPr>
          <w:rFonts w:ascii="仿宋_GB2312" w:eastAsia="仿宋_GB2312"/>
          <w:color w:val="auto"/>
          <w:sz w:val="32"/>
        </w:rPr>
      </w:pPr>
      <w:r>
        <w:rPr>
          <w:rFonts w:hint="eastAsia" w:ascii="仿宋_GB2312" w:eastAsia="仿宋_GB2312"/>
          <w:color w:val="auto"/>
          <w:sz w:val="32"/>
        </w:rPr>
        <w:t>九、本通知自下发之日起执行。</w:t>
      </w:r>
    </w:p>
    <w:p>
      <w:pPr>
        <w:widowControl/>
        <w:spacing w:line="500" w:lineRule="exact"/>
        <w:ind w:firstLine="640" w:firstLineChars="200"/>
        <w:jc w:val="left"/>
        <w:rPr>
          <w:rFonts w:ascii="仿宋_GB2312" w:eastAsia="仿宋_GB2312"/>
          <w:color w:val="auto"/>
          <w:sz w:val="32"/>
        </w:rPr>
      </w:pPr>
    </w:p>
    <w:p>
      <w:pPr>
        <w:widowControl/>
        <w:spacing w:line="500" w:lineRule="exact"/>
        <w:ind w:firstLine="640" w:firstLineChars="200"/>
        <w:jc w:val="left"/>
        <w:rPr>
          <w:rFonts w:ascii="仿宋_GB2312" w:eastAsia="仿宋_GB2312"/>
          <w:color w:val="auto"/>
          <w:sz w:val="32"/>
        </w:rPr>
      </w:pPr>
    </w:p>
    <w:p>
      <w:pPr>
        <w:widowControl/>
        <w:spacing w:line="500" w:lineRule="exact"/>
        <w:ind w:firstLine="5760"/>
        <w:jc w:val="left"/>
        <w:rPr>
          <w:rFonts w:ascii="仿宋_GB2312" w:eastAsia="仿宋_GB2312"/>
          <w:color w:val="auto"/>
          <w:sz w:val="32"/>
        </w:rPr>
      </w:pPr>
      <w:r>
        <w:rPr>
          <w:rFonts w:ascii="仿宋_GB2312" w:eastAsia="仿宋_GB2312"/>
          <w:color w:val="auto"/>
          <w:sz w:val="32"/>
        </w:rPr>
        <w:t>法务审计处</w:t>
      </w:r>
    </w:p>
    <w:p>
      <w:pPr>
        <w:widowControl/>
        <w:spacing w:line="560" w:lineRule="exact"/>
        <w:ind w:firstLine="5296" w:firstLineChars="1655"/>
        <w:jc w:val="left"/>
        <w:rPr>
          <w:rFonts w:hint="eastAsia" w:ascii="仿宋_GB2312" w:eastAsia="仿宋_GB2312"/>
          <w:color w:val="auto"/>
          <w:sz w:val="32"/>
        </w:rPr>
        <w:sectPr>
          <w:pgSz w:w="11907" w:h="16840"/>
          <w:pgMar w:top="1361" w:right="1418" w:bottom="1361" w:left="1418" w:header="851" w:footer="964" w:gutter="284"/>
          <w:pgBorders>
            <w:top w:val="none" w:sz="0" w:space="0"/>
            <w:left w:val="none" w:sz="0" w:space="0"/>
            <w:bottom w:val="none" w:sz="0" w:space="0"/>
            <w:right w:val="none" w:sz="0" w:space="0"/>
          </w:pgBorders>
          <w:cols w:space="720" w:num="1"/>
          <w:titlePg/>
          <w:docGrid w:linePitch="271" w:charSpace="0"/>
        </w:sectPr>
      </w:pPr>
      <w:r>
        <w:rPr>
          <w:rFonts w:ascii="仿宋_GB2312" w:eastAsia="仿宋_GB2312"/>
          <w:color w:val="auto"/>
          <w:sz w:val="32"/>
        </w:rPr>
        <w:t xml:space="preserve"> 2019年</w:t>
      </w:r>
      <w:r>
        <w:rPr>
          <w:rFonts w:hint="eastAsia" w:ascii="仿宋_GB2312" w:eastAsia="仿宋_GB2312"/>
          <w:color w:val="auto"/>
          <w:sz w:val="32"/>
        </w:rPr>
        <w:t>8</w:t>
      </w:r>
      <w:r>
        <w:rPr>
          <w:rFonts w:ascii="仿宋_GB2312" w:eastAsia="仿宋_GB2312"/>
          <w:color w:val="auto"/>
          <w:sz w:val="32"/>
        </w:rPr>
        <w:t>月</w:t>
      </w:r>
      <w:r>
        <w:rPr>
          <w:rFonts w:hint="eastAsia" w:ascii="仿宋_GB2312" w:eastAsia="仿宋_GB2312"/>
          <w:color w:val="auto"/>
          <w:sz w:val="32"/>
        </w:rPr>
        <w:t>22</w:t>
      </w:r>
      <w:r>
        <w:rPr>
          <w:rFonts w:ascii="仿宋_GB2312" w:eastAsia="仿宋_GB2312"/>
          <w:color w:val="auto"/>
          <w:sz w:val="32"/>
        </w:rPr>
        <w:t xml:space="preserve">日 </w:t>
      </w:r>
      <w:bookmarkStart w:id="6" w:name="_GoBack"/>
      <w:bookmarkEnd w:id="6"/>
    </w:p>
    <w:p>
      <w:pPr>
        <w:widowControl/>
        <w:spacing w:line="560" w:lineRule="exact"/>
        <w:jc w:val="left"/>
        <w:rPr>
          <w:rFonts w:hint="eastAsia" w:ascii="仿宋_GB2312" w:eastAsia="仿宋_GB2312"/>
          <w:sz w:val="32"/>
          <w:lang w:val="en-US" w:eastAsia="zh-CN"/>
        </w:rPr>
      </w:pPr>
      <w:bookmarkStart w:id="5" w:name="End"/>
      <w:bookmarkEnd w:id="5"/>
    </w:p>
    <w:sectPr>
      <w:pgSz w:w="16840" w:h="11907" w:orient="landscape"/>
      <w:pgMar w:top="1418" w:right="1361" w:bottom="1418" w:left="1361" w:header="851" w:footer="964" w:gutter="284"/>
      <w:pgBorders>
        <w:top w:val="none" w:sz="0" w:space="0"/>
        <w:left w:val="none" w:sz="0" w:space="0"/>
        <w:bottom w:val="none" w:sz="0" w:space="0"/>
        <w:right w:val="none" w:sz="0" w:space="0"/>
      </w:pgBorders>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33F65"/>
    <w:multiLevelType w:val="multilevel"/>
    <w:tmpl w:val="57133F65"/>
    <w:lvl w:ilvl="0" w:tentative="0">
      <w:start w:val="1"/>
      <w:numFmt w:val="decimal"/>
      <w:lvlText w:val="第%1章 "/>
      <w:lvlJc w:val="left"/>
      <w:pPr>
        <w:tabs>
          <w:tab w:val="left" w:pos="425"/>
        </w:tabs>
        <w:ind w:left="425" w:hanging="425"/>
      </w:pPr>
      <w:rPr>
        <w:rFonts w:hint="eastAsia"/>
      </w:rPr>
    </w:lvl>
    <w:lvl w:ilvl="1" w:tentative="0">
      <w:start w:val="1"/>
      <w:numFmt w:val="decimal"/>
      <w:lvlText w:val="%1.%2 "/>
      <w:lvlJc w:val="left"/>
      <w:pPr>
        <w:tabs>
          <w:tab w:val="left" w:pos="567"/>
        </w:tabs>
        <w:ind w:left="567" w:hanging="567"/>
      </w:pPr>
      <w:rPr>
        <w:rFonts w:hint="eastAsia"/>
      </w:rPr>
    </w:lvl>
    <w:lvl w:ilvl="2" w:tentative="0">
      <w:start w:val="1"/>
      <w:numFmt w:val="decimal"/>
      <w:pStyle w:val="17"/>
      <w:lvlText w:val="%1.%2.%3 "/>
      <w:lvlJc w:val="left"/>
      <w:pPr>
        <w:tabs>
          <w:tab w:val="left" w:pos="709"/>
        </w:tabs>
        <w:ind w:left="709" w:hanging="709"/>
      </w:pPr>
      <w:rPr>
        <w:rFonts w:hint="eastAsia"/>
      </w:rPr>
    </w:lvl>
    <w:lvl w:ilvl="3" w:tentative="0">
      <w:start w:val="1"/>
      <w:numFmt w:val="decimal"/>
      <w:pStyle w:val="18"/>
      <w:lvlText w:val="%1.%2.%3.%4 "/>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08314D9"/>
    <w:rsid w:val="01800041"/>
    <w:rsid w:val="0276107A"/>
    <w:rsid w:val="04C57E4F"/>
    <w:rsid w:val="0639213D"/>
    <w:rsid w:val="0BC423EC"/>
    <w:rsid w:val="0BC7767F"/>
    <w:rsid w:val="0C6368FF"/>
    <w:rsid w:val="0DAC04DF"/>
    <w:rsid w:val="10C1008B"/>
    <w:rsid w:val="12CD3DBB"/>
    <w:rsid w:val="13934D27"/>
    <w:rsid w:val="148D0DA3"/>
    <w:rsid w:val="16924900"/>
    <w:rsid w:val="16EA4C89"/>
    <w:rsid w:val="17B90DF1"/>
    <w:rsid w:val="1A2226ED"/>
    <w:rsid w:val="1A6803B6"/>
    <w:rsid w:val="1C4F2D03"/>
    <w:rsid w:val="1D7C0366"/>
    <w:rsid w:val="1F276F59"/>
    <w:rsid w:val="21650E0A"/>
    <w:rsid w:val="217B04DD"/>
    <w:rsid w:val="21895F35"/>
    <w:rsid w:val="22A02A0C"/>
    <w:rsid w:val="25872EF6"/>
    <w:rsid w:val="262A4A8A"/>
    <w:rsid w:val="265247F2"/>
    <w:rsid w:val="27701EB2"/>
    <w:rsid w:val="2AEA6823"/>
    <w:rsid w:val="2B236C4F"/>
    <w:rsid w:val="2CB7386A"/>
    <w:rsid w:val="2D8E13C5"/>
    <w:rsid w:val="3597203C"/>
    <w:rsid w:val="39443A05"/>
    <w:rsid w:val="3A1E1869"/>
    <w:rsid w:val="3A2B02EC"/>
    <w:rsid w:val="3D361A26"/>
    <w:rsid w:val="3DCF27A1"/>
    <w:rsid w:val="3F6F5ED1"/>
    <w:rsid w:val="400B247B"/>
    <w:rsid w:val="44B63042"/>
    <w:rsid w:val="46B457D0"/>
    <w:rsid w:val="47261C3D"/>
    <w:rsid w:val="4C112FF3"/>
    <w:rsid w:val="4C852A0A"/>
    <w:rsid w:val="4DB538B9"/>
    <w:rsid w:val="4DD94EEC"/>
    <w:rsid w:val="4E1253E1"/>
    <w:rsid w:val="4F35529B"/>
    <w:rsid w:val="4F46214D"/>
    <w:rsid w:val="4FBF6451"/>
    <w:rsid w:val="50F1344C"/>
    <w:rsid w:val="51186D30"/>
    <w:rsid w:val="52171610"/>
    <w:rsid w:val="524A618B"/>
    <w:rsid w:val="54BC3F27"/>
    <w:rsid w:val="54E62189"/>
    <w:rsid w:val="575E3F95"/>
    <w:rsid w:val="579C7130"/>
    <w:rsid w:val="59D32AE1"/>
    <w:rsid w:val="5E063A79"/>
    <w:rsid w:val="5F352B54"/>
    <w:rsid w:val="5F592CA3"/>
    <w:rsid w:val="5F6302C6"/>
    <w:rsid w:val="5F9A2CBF"/>
    <w:rsid w:val="604F449B"/>
    <w:rsid w:val="60B45550"/>
    <w:rsid w:val="628569A6"/>
    <w:rsid w:val="63D66318"/>
    <w:rsid w:val="65D60782"/>
    <w:rsid w:val="67755B92"/>
    <w:rsid w:val="68303598"/>
    <w:rsid w:val="694D4756"/>
    <w:rsid w:val="697451FE"/>
    <w:rsid w:val="6A0D6DA2"/>
    <w:rsid w:val="6A9F07BD"/>
    <w:rsid w:val="6BF61274"/>
    <w:rsid w:val="6C3E71E0"/>
    <w:rsid w:val="6CEF242D"/>
    <w:rsid w:val="708A416E"/>
    <w:rsid w:val="7129774D"/>
    <w:rsid w:val="72201FFF"/>
    <w:rsid w:val="74E25B87"/>
    <w:rsid w:val="758D7B90"/>
    <w:rsid w:val="770C66B0"/>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Normal Indent"/>
    <w:basedOn w:val="1"/>
    <w:qFormat/>
    <w:uiPriority w:val="0"/>
    <w:pPr>
      <w:ind w:firstLine="420"/>
    </w:pPr>
    <w:rPr>
      <w:szCs w:val="20"/>
    </w:rPr>
  </w:style>
  <w:style w:type="paragraph" w:styleId="5">
    <w:name w:val="Body Text"/>
    <w:basedOn w:val="1"/>
    <w:qFormat/>
    <w:uiPriority w:val="0"/>
    <w:pPr>
      <w:spacing w:line="0" w:lineRule="atLeast"/>
    </w:pPr>
    <w:rPr>
      <w:sz w:val="30"/>
      <w:szCs w:val="20"/>
    </w:rPr>
  </w:style>
  <w:style w:type="paragraph" w:styleId="6">
    <w:name w:val="Plain Text"/>
    <w:basedOn w:val="1"/>
    <w:qFormat/>
    <w:uiPriority w:val="0"/>
    <w:rPr>
      <w:rFonts w:ascii="宋体" w:hAnsi="Courier New"/>
      <w:szCs w:val="20"/>
    </w:rPr>
  </w:style>
  <w:style w:type="paragraph" w:styleId="7">
    <w:name w:val="Date"/>
    <w:basedOn w:val="1"/>
    <w:next w:val="1"/>
    <w:qFormat/>
    <w:uiPriority w:val="0"/>
    <w:rPr>
      <w:sz w:val="24"/>
      <w:szCs w:val="24"/>
    </w:rPr>
  </w:style>
  <w:style w:type="paragraph" w:styleId="8">
    <w:name w:val="footer"/>
    <w:basedOn w:val="1"/>
    <w:qFormat/>
    <w:uiPriority w:val="0"/>
    <w:pPr>
      <w:widowControl/>
      <w:tabs>
        <w:tab w:val="center" w:pos="4153"/>
        <w:tab w:val="right" w:pos="8306"/>
      </w:tabs>
      <w:snapToGrid w:val="0"/>
      <w:jc w:val="left"/>
    </w:pPr>
    <w:rPr>
      <w:kern w:val="0"/>
      <w:sz w:val="18"/>
      <w:szCs w:val="20"/>
    </w:rPr>
  </w:style>
  <w:style w:type="paragraph" w:styleId="9">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0">
    <w:name w:val="footnote text"/>
    <w:basedOn w:val="1"/>
    <w:qFormat/>
    <w:uiPriority w:val="0"/>
    <w:pPr>
      <w:snapToGrid w:val="0"/>
      <w:jc w:val="left"/>
    </w:pPr>
    <w:rPr>
      <w:sz w:val="18"/>
      <w:szCs w:val="18"/>
    </w:rPr>
  </w:style>
  <w:style w:type="character" w:styleId="13">
    <w:name w:val="page number"/>
    <w:basedOn w:val="12"/>
    <w:qFormat/>
    <w:uiPriority w:val="0"/>
  </w:style>
  <w:style w:type="paragraph" w:customStyle="1" w:styleId="14">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15">
    <w:name w:val="NormalCharacter"/>
    <w:semiHidden/>
    <w:qFormat/>
    <w:uiPriority w:val="0"/>
  </w:style>
  <w:style w:type="paragraph" w:customStyle="1" w:styleId="16">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7">
    <w:name w:val="cucd-3"/>
    <w:next w:val="18"/>
    <w:qFormat/>
    <w:uiPriority w:val="0"/>
    <w:pPr>
      <w:numPr>
        <w:ilvl w:val="2"/>
        <w:numId w:val="1"/>
      </w:numPr>
      <w:spacing w:line="360" w:lineRule="auto"/>
      <w:outlineLvl w:val="2"/>
    </w:pPr>
    <w:rPr>
      <w:rFonts w:ascii="Times New Roman" w:hAnsi="Times New Roman" w:eastAsia="宋体" w:cs="Times New Roman"/>
      <w:b/>
      <w:kern w:val="2"/>
      <w:sz w:val="28"/>
      <w:szCs w:val="24"/>
      <w:lang w:val="en-US" w:eastAsia="zh-CN" w:bidi="ar-SA"/>
    </w:rPr>
  </w:style>
  <w:style w:type="paragraph" w:customStyle="1" w:styleId="18">
    <w:name w:val="cucd-4"/>
    <w:next w:val="16"/>
    <w:qFormat/>
    <w:uiPriority w:val="0"/>
    <w:pPr>
      <w:numPr>
        <w:ilvl w:val="3"/>
        <w:numId w:val="1"/>
      </w:numPr>
      <w:spacing w:line="360" w:lineRule="auto"/>
      <w:outlineLvl w:val="3"/>
    </w:pPr>
    <w:rPr>
      <w:rFonts w:ascii="Times New Roman" w:hAnsi="Times New Roman" w:eastAsia="宋体" w:cs="Times New Roman"/>
      <w:b/>
      <w:kern w:val="2"/>
      <w:sz w:val="24"/>
      <w:szCs w:val="24"/>
      <w:lang w:val="en-US" w:eastAsia="zh-CN" w:bidi="ar-SA"/>
    </w:rPr>
  </w:style>
  <w:style w:type="paragraph" w:customStyle="1" w:styleId="19">
    <w:name w:val="纯文本1"/>
    <w:basedOn w:val="1"/>
    <w:qFormat/>
    <w:uiPriority w:val="1650"/>
    <w:rPr>
      <w:rFonts w:ascii="宋体" w:hAnsi="宋体" w:cs="Courier New"/>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7627</Words>
  <Characters>7899</Characters>
  <Lines>0</Lines>
  <Paragraphs>0</Paragraphs>
  <TotalTime>11</TotalTime>
  <ScaleCrop>false</ScaleCrop>
  <LinksUpToDate>false</LinksUpToDate>
  <CharactersWithSpaces>8781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2023-07-19T03:20:00Z</cp:lastPrinted>
  <dcterms:modified xsi:type="dcterms:W3CDTF">2023-07-19T05:53:03Z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FE28BD53BFB0477E8F3A5355D90606A0_13</vt:lpwstr>
  </property>
</Properties>
</file>