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pStyle w:val="11"/>
        <w:spacing w:line="500" w:lineRule="exact"/>
        <w:jc w:val="center"/>
        <w:rPr>
          <w:rFonts w:hint="eastAsia" w:ascii="方正小标宋简体" w:eastAsia="方正小标宋简体"/>
          <w:b/>
          <w:sz w:val="44"/>
          <w:szCs w:val="44"/>
        </w:rPr>
      </w:pPr>
    </w:p>
    <w:p>
      <w:pPr>
        <w:pStyle w:val="11"/>
        <w:spacing w:line="500" w:lineRule="exact"/>
        <w:jc w:val="center"/>
        <w:rPr>
          <w:rFonts w:ascii="方正小标宋简体" w:eastAsia="方正小标宋简体"/>
          <w:b/>
          <w:sz w:val="44"/>
          <w:szCs w:val="44"/>
        </w:rPr>
      </w:pPr>
      <w:r>
        <w:rPr>
          <w:rFonts w:hint="eastAsia" w:ascii="方正小标宋简体" w:eastAsia="方正小标宋简体"/>
          <w:b/>
          <w:sz w:val="44"/>
          <w:szCs w:val="44"/>
        </w:rPr>
        <w:t>授</w:t>
      </w:r>
      <w:r>
        <w:rPr>
          <w:rFonts w:ascii="方正小标宋简体" w:eastAsia="方正小标宋简体"/>
          <w:b/>
          <w:sz w:val="44"/>
          <w:szCs w:val="44"/>
        </w:rPr>
        <w:t xml:space="preserve"> </w:t>
      </w:r>
      <w:r>
        <w:rPr>
          <w:rFonts w:hint="eastAsia" w:ascii="方正小标宋简体" w:eastAsia="方正小标宋简体"/>
          <w:b/>
          <w:sz w:val="44"/>
          <w:szCs w:val="44"/>
        </w:rPr>
        <w:t>权</w:t>
      </w:r>
      <w:r>
        <w:rPr>
          <w:rFonts w:ascii="方正小标宋简体" w:eastAsia="方正小标宋简体"/>
          <w:b/>
          <w:sz w:val="44"/>
          <w:szCs w:val="44"/>
        </w:rPr>
        <w:t xml:space="preserve"> </w:t>
      </w:r>
      <w:r>
        <w:rPr>
          <w:rFonts w:hint="eastAsia" w:ascii="方正小标宋简体" w:eastAsia="方正小标宋简体"/>
          <w:b/>
          <w:sz w:val="44"/>
          <w:szCs w:val="44"/>
        </w:rPr>
        <w:t>委</w:t>
      </w:r>
      <w:r>
        <w:rPr>
          <w:rFonts w:ascii="方正小标宋简体" w:eastAsia="方正小标宋简体"/>
          <w:b/>
          <w:sz w:val="44"/>
          <w:szCs w:val="44"/>
        </w:rPr>
        <w:t xml:space="preserve"> </w:t>
      </w:r>
      <w:r>
        <w:rPr>
          <w:rFonts w:hint="eastAsia" w:ascii="方正小标宋简体" w:eastAsia="方正小标宋简体"/>
          <w:b/>
          <w:sz w:val="44"/>
          <w:szCs w:val="44"/>
        </w:rPr>
        <w:t>托</w:t>
      </w:r>
      <w:r>
        <w:rPr>
          <w:rFonts w:ascii="方正小标宋简体" w:eastAsia="方正小标宋简体"/>
          <w:b/>
          <w:sz w:val="44"/>
          <w:szCs w:val="44"/>
        </w:rPr>
        <w:t xml:space="preserve"> </w:t>
      </w:r>
      <w:r>
        <w:rPr>
          <w:rFonts w:hint="eastAsia" w:ascii="方正小标宋简体" w:eastAsia="方正小标宋简体"/>
          <w:b/>
          <w:sz w:val="44"/>
          <w:szCs w:val="44"/>
        </w:rPr>
        <w:t>书</w:t>
      </w:r>
    </w:p>
    <w:p>
      <w:pPr>
        <w:spacing w:after="120" w:afterLines="50" w:line="500" w:lineRule="exact"/>
        <w:rPr>
          <w:rFonts w:ascii="仿宋_GB2312" w:eastAsia="仿宋_GB2312"/>
          <w:sz w:val="30"/>
          <w:szCs w:val="30"/>
        </w:rPr>
      </w:pPr>
      <w:r>
        <w:rPr>
          <w:rFonts w:hint="eastAsia" w:ascii="仿宋_GB2312" w:hAnsi="宋体" w:eastAsia="仿宋_GB2312"/>
          <w:sz w:val="28"/>
          <w:lang w:val="en-US" w:eastAsia="zh-CN"/>
        </w:rPr>
        <w:t>长治首钢生物质能源有限公司</w:t>
      </w:r>
      <w:r>
        <w:rPr>
          <w:rFonts w:hint="eastAsia" w:ascii="仿宋_GB2312" w:eastAsia="仿宋_GB2312"/>
          <w:sz w:val="30"/>
          <w:szCs w:val="30"/>
        </w:rPr>
        <w:t>：</w:t>
      </w:r>
      <w:r>
        <w:rPr>
          <w:rFonts w:ascii="仿宋_GB2312" w:eastAsia="仿宋_GB2312"/>
          <w:sz w:val="30"/>
          <w:szCs w:val="30"/>
        </w:rPr>
        <w:t xml:space="preserve">                                                                                                            </w:t>
      </w:r>
    </w:p>
    <w:p>
      <w:pPr>
        <w:widowControl/>
        <w:spacing w:before="100" w:beforeAutospacing="1" w:after="100" w:afterAutospacing="1" w:line="380" w:lineRule="exact"/>
        <w:ind w:firstLine="570"/>
        <w:jc w:val="left"/>
        <w:rPr>
          <w:rFonts w:ascii="宋体" w:cs="宋体"/>
          <w:color w:val="000000"/>
          <w:kern w:val="0"/>
        </w:rPr>
      </w:pPr>
      <w:r>
        <w:rPr>
          <w:rFonts w:hint="eastAsia" w:ascii="仿宋_GB2312" w:hAnsi="宋体" w:eastAsia="仿宋_GB2312" w:cs="宋体"/>
          <w:i/>
          <w:iCs/>
          <w:color w:val="000000"/>
          <w:kern w:val="0"/>
          <w:u w:val="single"/>
          <w:shd w:val="clear" w:color="auto" w:fill="E5E5E5"/>
        </w:rPr>
        <w:t>（单位名称）</w:t>
      </w:r>
      <w:r>
        <w:rPr>
          <w:rFonts w:ascii="仿宋_GB2312" w:hAnsi="宋体" w:eastAsia="仿宋_GB2312" w:cs="宋体"/>
          <w:i/>
          <w:iCs/>
          <w:color w:val="000000"/>
          <w:kern w:val="0"/>
          <w:u w:val="single"/>
          <w:shd w:val="clear" w:color="auto" w:fill="E5E5E5"/>
        </w:rPr>
        <w:t xml:space="preserve">     </w:t>
      </w:r>
      <w:r>
        <w:rPr>
          <w:rFonts w:hint="eastAsia" w:ascii="仿宋_GB2312" w:hAnsi="宋体" w:eastAsia="仿宋_GB2312" w:cs="宋体"/>
          <w:color w:val="000000"/>
          <w:kern w:val="0"/>
        </w:rPr>
        <w:t>是在中华人民共和国境内合法注册的企业，法定地址</w:t>
      </w:r>
      <w:r>
        <w:rPr>
          <w:rFonts w:hint="eastAsia" w:ascii="仿宋_GB2312" w:hAnsi="宋体" w:eastAsia="仿宋_GB2312" w:cs="宋体"/>
          <w:i/>
          <w:iCs/>
          <w:color w:val="000000"/>
          <w:kern w:val="0"/>
          <w:u w:val="single"/>
          <w:shd w:val="clear" w:color="auto" w:fill="E5E5E5"/>
        </w:rPr>
        <w:t>（营业执照上注明的地址）</w:t>
      </w:r>
      <w:r>
        <w:rPr>
          <w:rFonts w:hint="eastAsia" w:ascii="仿宋_GB2312" w:hAnsi="宋体" w:eastAsia="仿宋_GB2312" w:cs="宋体"/>
          <w:color w:val="000000"/>
          <w:kern w:val="0"/>
        </w:rPr>
        <w:t>，企业法人代码</w:t>
      </w:r>
      <w:r>
        <w:rPr>
          <w:rFonts w:hint="eastAsia" w:ascii="仿宋_GB2312" w:hAnsi="宋体" w:eastAsia="仿宋_GB2312" w:cs="宋体"/>
          <w:i/>
          <w:iCs/>
          <w:color w:val="000000"/>
          <w:kern w:val="0"/>
          <w:u w:val="single"/>
          <w:shd w:val="clear" w:color="auto" w:fill="E5E5E5"/>
        </w:rPr>
        <w:t>（法人代码）</w:t>
      </w:r>
      <w:r>
        <w:rPr>
          <w:rFonts w:hint="eastAsia" w:ascii="仿宋_GB2312" w:hAnsi="宋体" w:eastAsia="仿宋_GB2312" w:cs="宋体"/>
          <w:color w:val="000000"/>
          <w:kern w:val="0"/>
        </w:rPr>
        <w:t>，主要生产地点设在</w:t>
      </w:r>
      <w:r>
        <w:rPr>
          <w:rFonts w:hint="eastAsia" w:ascii="仿宋_GB2312" w:hAnsi="宋体" w:eastAsia="仿宋_GB2312" w:cs="宋体"/>
          <w:i/>
          <w:iCs/>
          <w:color w:val="000000"/>
          <w:kern w:val="0"/>
          <w:u w:val="single"/>
          <w:shd w:val="clear" w:color="auto" w:fill="E5E5E5"/>
        </w:rPr>
        <w:t>（生产厂地址）</w:t>
      </w:r>
      <w:r>
        <w:rPr>
          <w:rFonts w:hint="eastAsia" w:ascii="仿宋_GB2312" w:hAnsi="宋体" w:eastAsia="仿宋_GB2312" w:cs="宋体"/>
          <w:color w:val="000000"/>
          <w:kern w:val="0"/>
        </w:rPr>
        <w:t>。</w:t>
      </w:r>
    </w:p>
    <w:p>
      <w:pPr>
        <w:spacing w:after="120" w:afterLines="50" w:line="380" w:lineRule="exact"/>
        <w:ind w:firstLine="630"/>
        <w:rPr>
          <w:rFonts w:ascii="仿宋_GB2312" w:eastAsia="仿宋_GB2312"/>
        </w:rPr>
      </w:pPr>
      <w:r>
        <w:rPr>
          <w:rFonts w:hint="eastAsia" w:ascii="仿宋_GB2312" w:eastAsia="仿宋_GB2312"/>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hint="eastAsia" w:ascii="仿宋_GB2312" w:hAnsi="宋体" w:eastAsia="仿宋_GB2312" w:cs="宋体"/>
          <w:i/>
          <w:color w:val="000000"/>
          <w:kern w:val="0"/>
          <w:u w:val="single"/>
          <w:shd w:val="pct10" w:color="auto" w:fill="FFFFFF"/>
        </w:rPr>
        <w:t>采购项目名称、采购编号</w:t>
      </w:r>
      <w:r>
        <w:rPr>
          <w:rFonts w:hint="eastAsia" w:ascii="仿宋_GB2312" w:hAnsi="宋体" w:eastAsia="仿宋_GB2312" w:cs="宋体"/>
          <w:color w:val="000000"/>
          <w:kern w:val="0"/>
        </w:rPr>
        <w:t>的投标及合同签订事宜。具体为：</w:t>
      </w:r>
      <w:r>
        <w:rPr>
          <w:rFonts w:ascii="仿宋_GB2312" w:hAnsi="宋体" w:eastAsia="仿宋_GB2312" w:cs="宋体"/>
          <w:color w:val="000000"/>
          <w:kern w:val="0"/>
        </w:rPr>
        <w:t>1</w:t>
      </w:r>
      <w:r>
        <w:rPr>
          <w:rFonts w:hint="eastAsia" w:ascii="仿宋_GB2312" w:hAnsi="宋体" w:eastAsia="仿宋_GB2312" w:cs="宋体"/>
          <w:color w:val="000000"/>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000000"/>
          <w:kern w:val="0"/>
        </w:rPr>
        <w:t>2</w:t>
      </w:r>
      <w:r>
        <w:rPr>
          <w:rFonts w:hint="eastAsia" w:ascii="仿宋_GB2312" w:hAnsi="宋体" w:eastAsia="仿宋_GB2312" w:cs="宋体"/>
          <w:color w:val="000000"/>
          <w:kern w:val="0"/>
        </w:rPr>
        <w:t>、签订合同、办理结算、代为收款、处理有关合同履行过程中的一切事宜，并签署相关文件。</w:t>
      </w:r>
      <w:r>
        <w:rPr>
          <w:rFonts w:ascii="仿宋_GB2312" w:eastAsia="仿宋_GB2312"/>
        </w:rPr>
        <w:t xml:space="preserve">                                                                           </w:t>
      </w:r>
    </w:p>
    <w:p>
      <w:pPr>
        <w:spacing w:after="120" w:afterLines="50" w:line="380" w:lineRule="exact"/>
        <w:rPr>
          <w:rFonts w:ascii="仿宋_GB2312" w:eastAsia="仿宋_GB2312"/>
        </w:rPr>
      </w:pPr>
      <w:r>
        <w:rPr>
          <w:rFonts w:ascii="仿宋_GB2312" w:eastAsia="仿宋_GB2312"/>
        </w:rPr>
        <w:t xml:space="preserve">    </w:t>
      </w:r>
      <w:r>
        <w:rPr>
          <w:rFonts w:hint="eastAsia" w:ascii="仿宋_GB2312" w:eastAsia="仿宋_GB2312"/>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000000"/>
          <w:kern w:val="0"/>
        </w:rPr>
      </w:pPr>
      <w:r>
        <w:rPr>
          <w:rFonts w:hint="eastAsia" w:ascii="仿宋_GB2312" w:eastAsia="仿宋_GB2312"/>
        </w:rPr>
        <w:t>授权期限：</w:t>
      </w:r>
      <w:r>
        <w:rPr>
          <w:rFonts w:hint="eastAsia" w:ascii="仿宋_GB2312" w:eastAsia="仿宋_GB2312"/>
          <w:color w:val="0000FF"/>
          <w:u w:val="single"/>
          <w:lang w:val="en-US" w:eastAsia="zh-CN"/>
        </w:rPr>
        <w:t xml:space="preserve">    </w:t>
      </w:r>
      <w:r>
        <w:rPr>
          <w:rFonts w:hint="eastAsia" w:ascii="仿宋_GB2312" w:eastAsia="仿宋_GB2312"/>
          <w:color w:val="0000FF"/>
        </w:rPr>
        <w:t>年</w:t>
      </w:r>
      <w:r>
        <w:rPr>
          <w:rFonts w:hint="eastAsia" w:ascii="仿宋_GB2312" w:eastAsia="仿宋_GB2312"/>
          <w:color w:val="0000FF"/>
          <w:u w:val="single"/>
          <w:lang w:val="en-US" w:eastAsia="zh-CN"/>
        </w:rPr>
        <w:t xml:space="preserve">     </w:t>
      </w:r>
      <w:r>
        <w:rPr>
          <w:rFonts w:hint="eastAsia" w:ascii="仿宋_GB2312" w:eastAsia="仿宋_GB2312"/>
          <w:color w:val="0000FF"/>
        </w:rPr>
        <w:t>月</w:t>
      </w:r>
      <w:r>
        <w:rPr>
          <w:rFonts w:hint="eastAsia" w:ascii="仿宋_GB2312" w:eastAsia="仿宋_GB2312"/>
          <w:color w:val="0000FF"/>
          <w:u w:val="single"/>
          <w:lang w:val="en-US" w:eastAsia="zh-CN"/>
        </w:rPr>
        <w:t xml:space="preserve">     </w:t>
      </w:r>
      <w:r>
        <w:rPr>
          <w:rFonts w:hint="eastAsia" w:ascii="仿宋_GB2312" w:eastAsia="仿宋_GB2312"/>
          <w:color w:val="0000FF"/>
        </w:rPr>
        <w:t>日至</w:t>
      </w:r>
      <w:r>
        <w:rPr>
          <w:rFonts w:hint="eastAsia" w:ascii="仿宋_GB2312" w:eastAsia="仿宋_GB2312"/>
          <w:color w:val="0000FF"/>
          <w:u w:val="single"/>
          <w:lang w:val="en-US" w:eastAsia="zh-CN"/>
        </w:rPr>
        <w:t xml:space="preserve">     </w:t>
      </w:r>
      <w:r>
        <w:rPr>
          <w:rFonts w:hint="eastAsia" w:ascii="仿宋_GB2312" w:eastAsia="仿宋_GB2312"/>
          <w:color w:val="0000FF"/>
        </w:rPr>
        <w:t>年</w:t>
      </w:r>
      <w:r>
        <w:rPr>
          <w:rFonts w:hint="eastAsia" w:ascii="仿宋_GB2312" w:eastAsia="仿宋_GB2312"/>
          <w:color w:val="0000FF"/>
          <w:u w:val="single"/>
          <w:lang w:val="en-US" w:eastAsia="zh-CN"/>
        </w:rPr>
        <w:t xml:space="preserve">     </w:t>
      </w:r>
      <w:r>
        <w:rPr>
          <w:rFonts w:hint="eastAsia" w:ascii="仿宋_GB2312" w:eastAsia="仿宋_GB2312"/>
          <w:color w:val="0000FF"/>
        </w:rPr>
        <w:t>月</w:t>
      </w:r>
      <w:r>
        <w:rPr>
          <w:rFonts w:hint="eastAsia" w:ascii="仿宋_GB2312" w:eastAsia="仿宋_GB2312"/>
          <w:color w:val="0000FF"/>
          <w:u w:val="single"/>
          <w:lang w:val="en-US" w:eastAsia="zh-CN"/>
        </w:rPr>
        <w:t xml:space="preserve">       </w:t>
      </w:r>
      <w:r>
        <w:rPr>
          <w:rFonts w:hint="eastAsia" w:ascii="仿宋_GB2312" w:eastAsia="仿宋_GB2312"/>
          <w:color w:val="0000FF"/>
        </w:rPr>
        <w:t>日</w:t>
      </w:r>
      <w:r>
        <w:rPr>
          <w:rFonts w:ascii="仿宋_GB2312" w:eastAsia="仿宋_GB2312"/>
        </w:rPr>
        <w:t>.</w:t>
      </w:r>
      <w:r>
        <w:rPr>
          <w:rFonts w:hint="eastAsia" w:ascii="仿宋_GB2312" w:hAnsi="宋体" w:eastAsia="仿宋_GB2312" w:cs="宋体"/>
          <w:color w:val="000000"/>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rPr>
      </w:pPr>
      <w:r>
        <w:rPr>
          <w:rFonts w:hint="eastAsia" w:ascii="仿宋_GB2312" w:eastAsia="仿宋_GB2312"/>
        </w:rPr>
        <w:t>代理人姓名：</w:t>
      </w:r>
      <w:r>
        <w:rPr>
          <w:rFonts w:ascii="仿宋_GB2312" w:eastAsia="仿宋_GB2312"/>
        </w:rPr>
        <w:t xml:space="preserve">         </w:t>
      </w:r>
      <w:r>
        <w:rPr>
          <w:rFonts w:hint="eastAsia" w:ascii="仿宋_GB2312" w:eastAsia="仿宋_GB2312"/>
        </w:rPr>
        <w:t>职务：</w:t>
      </w:r>
      <w:r>
        <w:rPr>
          <w:rFonts w:ascii="仿宋_GB2312" w:eastAsia="仿宋_GB2312"/>
        </w:rPr>
        <w:t xml:space="preserve">           </w:t>
      </w:r>
      <w:r>
        <w:rPr>
          <w:rFonts w:hint="eastAsia" w:ascii="仿宋_GB2312" w:eastAsia="仿宋_GB2312"/>
        </w:rPr>
        <w:t>联系方式：</w:t>
      </w:r>
    </w:p>
    <w:p>
      <w:pPr>
        <w:spacing w:after="120" w:afterLines="50" w:line="380" w:lineRule="exact"/>
        <w:rPr>
          <w:rFonts w:ascii="仿宋_GB2312" w:eastAsia="仿宋_GB2312"/>
        </w:rPr>
      </w:pPr>
      <w:r>
        <w:rPr>
          <w:rFonts w:hint="eastAsia" w:ascii="仿宋_GB2312" w:eastAsia="仿宋_GB2312"/>
        </w:rPr>
        <w:t>代理人身份证复印件（粘贴处）：</w:t>
      </w:r>
    </w:p>
    <w:p>
      <w:pPr>
        <w:spacing w:after="120" w:afterLines="50"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p>
    <w:p>
      <w:pPr>
        <w:spacing w:line="380" w:lineRule="exact"/>
        <w:rPr>
          <w:rFonts w:ascii="仿宋_GB2312" w:eastAsia="仿宋_GB2312"/>
        </w:rPr>
      </w:pPr>
      <w:r>
        <w:rPr>
          <w:rFonts w:hint="eastAsia" w:ascii="仿宋_GB2312" w:eastAsia="仿宋_GB2312"/>
        </w:rPr>
        <w:t>代理人签字：</w:t>
      </w: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授权人盖章（行政公章）：</w:t>
      </w:r>
    </w:p>
    <w:p>
      <w:pPr>
        <w:spacing w:line="380" w:lineRule="exact"/>
        <w:rPr>
          <w:rFonts w:ascii="仿宋_GB2312" w:eastAsia="仿宋_GB2312"/>
        </w:rPr>
      </w:pPr>
      <w:r>
        <w:rPr>
          <w:rFonts w:ascii="仿宋_GB2312" w:eastAsia="仿宋_GB2312"/>
        </w:rPr>
        <w:t xml:space="preserve">                           </w:t>
      </w:r>
    </w:p>
    <w:p>
      <w:pPr>
        <w:spacing w:line="380" w:lineRule="exact"/>
        <w:rPr>
          <w:rFonts w:ascii="仿宋_GB2312" w:eastAsia="仿宋_GB2312"/>
        </w:rPr>
      </w:pPr>
      <w:r>
        <w:rPr>
          <w:rFonts w:ascii="仿宋_GB2312" w:eastAsia="仿宋_GB2312"/>
        </w:rPr>
        <w:t xml:space="preserve">                           </w:t>
      </w:r>
      <w:r>
        <w:rPr>
          <w:rFonts w:hint="eastAsia" w:ascii="仿宋_GB2312" w:eastAsia="仿宋_GB2312"/>
        </w:rPr>
        <w:t>法定代表人盖章并签字</w:t>
      </w:r>
      <w:r>
        <w:rPr>
          <w:rFonts w:ascii="仿宋_GB2312" w:eastAsia="仿宋_GB2312"/>
        </w:rPr>
        <w:t xml:space="preserve">: </w:t>
      </w:r>
    </w:p>
    <w:p>
      <w:pPr>
        <w:spacing w:line="380" w:lineRule="exact"/>
        <w:rPr>
          <w:rFonts w:hint="eastAsia"/>
        </w:rPr>
      </w:pPr>
    </w:p>
    <w:p>
      <w:pPr>
        <w:spacing w:line="380" w:lineRule="exact"/>
        <w:rPr>
          <w:rFonts w:hint="eastAsia"/>
        </w:rPr>
      </w:pPr>
    </w:p>
    <w:p>
      <w:pPr>
        <w:spacing w:line="380" w:lineRule="exact"/>
        <w:rPr>
          <w:rFonts w:hint="eastAsia"/>
        </w:rPr>
      </w:pPr>
    </w:p>
    <w:bookmarkEnd w:id="0"/>
    <w:p>
      <w:pPr>
        <w:widowControl/>
        <w:spacing w:line="480" w:lineRule="exact"/>
        <w:jc w:val="left"/>
        <w:rPr>
          <w:rFonts w:hint="default" w:ascii="仿宋_GB2312" w:hAnsi="宋体" w:eastAsia="仿宋_GB2312" w:cs="宋体"/>
          <w:bCs/>
          <w:color w:val="000000"/>
          <w:kern w:val="0"/>
          <w:sz w:val="24"/>
          <w:lang w:val="en-US" w:eastAsia="zh-CN"/>
        </w:rPr>
      </w:pPr>
      <w:r>
        <w:rPr>
          <w:rFonts w:hint="eastAsia" w:ascii="仿宋_GB2312" w:hAnsi="Arial" w:eastAsia="仿宋_GB2312"/>
          <w:b/>
          <w:sz w:val="28"/>
          <w:szCs w:val="28"/>
        </w:rPr>
        <w:t>附件4：</w:t>
      </w:r>
      <w:r>
        <w:rPr>
          <w:rFonts w:hint="eastAsia" w:ascii="仿宋_GB2312" w:hAnsi="Arial" w:eastAsia="仿宋_GB2312"/>
          <w:b/>
          <w:sz w:val="28"/>
          <w:szCs w:val="28"/>
          <w:lang w:val="en-US" w:eastAsia="zh-CN"/>
        </w:rPr>
        <w:t>臭味治理方案要求</w:t>
      </w:r>
      <w:bookmarkStart w:id="1" w:name="_Toc23993"/>
    </w:p>
    <w:bookmarkEnd w:id="1"/>
    <w:p>
      <w:pPr>
        <w:widowControl/>
        <w:spacing w:line="276" w:lineRule="auto"/>
        <w:ind w:left="578" w:leftChars="275"/>
        <w:jc w:val="left"/>
        <w:rPr>
          <w:rFonts w:hint="eastAsia" w:ascii="仿宋_GB2312" w:hAnsi="宋体" w:eastAsia="仿宋_GB2312" w:cs="宋体"/>
          <w:bCs/>
          <w:color w:val="000000"/>
          <w:kern w:val="0"/>
          <w:sz w:val="24"/>
        </w:rPr>
      </w:pPr>
      <w:bookmarkStart w:id="2" w:name="_Toc29030_WPSOffice_Level2"/>
      <w:bookmarkStart w:id="3" w:name="_Toc18225_WPSOffice_Level2"/>
      <w:bookmarkStart w:id="4" w:name="_Toc21983"/>
      <w:bookmarkStart w:id="5" w:name="_Toc15617_WPSOffice_Level2"/>
      <w:bookmarkStart w:id="6" w:name="_Toc26612_WPSOffice_Level2"/>
      <w:r>
        <w:rPr>
          <w:rFonts w:hint="eastAsia" w:ascii="仿宋_GB2312" w:hAnsi="宋体" w:eastAsia="仿宋_GB2312" w:cs="宋体"/>
          <w:bCs/>
          <w:color w:val="000000"/>
          <w:kern w:val="0"/>
          <w:sz w:val="24"/>
          <w:lang w:val="en-US" w:eastAsia="zh-CN"/>
        </w:rPr>
        <w:t>一、</w:t>
      </w:r>
      <w:r>
        <w:rPr>
          <w:rFonts w:hint="eastAsia" w:ascii="仿宋_GB2312" w:hAnsi="宋体" w:eastAsia="仿宋_GB2312" w:cs="宋体"/>
          <w:bCs/>
          <w:color w:val="000000"/>
          <w:kern w:val="0"/>
          <w:sz w:val="24"/>
        </w:rPr>
        <w:t>方案编制说明</w:t>
      </w:r>
      <w:bookmarkEnd w:id="2"/>
      <w:bookmarkEnd w:id="3"/>
      <w:bookmarkEnd w:id="4"/>
      <w:bookmarkEnd w:id="5"/>
      <w:bookmarkEnd w:id="6"/>
    </w:p>
    <w:p>
      <w:pPr>
        <w:widowControl/>
        <w:spacing w:line="276" w:lineRule="auto"/>
        <w:ind w:left="578" w:leftChars="275"/>
        <w:jc w:val="left"/>
        <w:rPr>
          <w:rFonts w:hint="eastAsia" w:ascii="仿宋_GB2312" w:hAnsi="宋体" w:eastAsia="仿宋_GB2312" w:cs="宋体"/>
          <w:bCs/>
          <w:color w:val="000000"/>
          <w:kern w:val="0"/>
          <w:sz w:val="24"/>
          <w:lang w:val="en-US" w:eastAsia="zh-CN"/>
        </w:rPr>
      </w:pPr>
      <w:bookmarkStart w:id="7" w:name="_Toc4538_WPSOffice_Level2"/>
      <w:bookmarkStart w:id="8" w:name="_Toc30014"/>
      <w:bookmarkStart w:id="9" w:name="_Toc32180_WPSOffice_Level2"/>
      <w:bookmarkStart w:id="10" w:name="_Toc26455_WPSOffice_Level2"/>
      <w:r>
        <w:rPr>
          <w:rFonts w:hint="eastAsia" w:ascii="仿宋_GB2312" w:hAnsi="宋体" w:eastAsia="仿宋_GB2312" w:cs="宋体"/>
          <w:bCs/>
          <w:color w:val="000000"/>
          <w:kern w:val="0"/>
          <w:sz w:val="24"/>
          <w:lang w:val="en-US" w:eastAsia="zh-CN"/>
        </w:rPr>
        <w:t>本次臭味逸散治理工作，选取了氨水间、除臭风机间、沟道间、沟道间排风风机间、垃圾池北墙、取样间、原澡堂、垃圾吊控制室、5层小库房共9个区域（含5层瓷砖粘贴）。通过与太原康恒及珠海康恒对标，生产设备技术部组织制定了本方案，本方案汲取了上述单位的臭味治理经验，对不同臭味逸散类型做出臭味治理方法。</w:t>
      </w:r>
    </w:p>
    <w:bookmarkEnd w:id="7"/>
    <w:bookmarkEnd w:id="8"/>
    <w:bookmarkEnd w:id="9"/>
    <w:bookmarkEnd w:id="10"/>
    <w:p>
      <w:pPr>
        <w:widowControl/>
        <w:spacing w:line="276" w:lineRule="auto"/>
        <w:ind w:left="578" w:leftChars="275"/>
        <w:jc w:val="left"/>
        <w:rPr>
          <w:rFonts w:hint="default" w:ascii="仿宋_GB2312" w:hAnsi="宋体" w:eastAsia="仿宋_GB2312" w:cs="宋体"/>
          <w:bCs/>
          <w:color w:val="000000"/>
          <w:kern w:val="0"/>
          <w:sz w:val="24"/>
          <w:lang w:val="en-US" w:eastAsia="zh-CN"/>
        </w:rPr>
      </w:pPr>
      <w:bookmarkStart w:id="11" w:name="_Toc9790"/>
      <w:r>
        <w:rPr>
          <w:rFonts w:hint="eastAsia" w:ascii="仿宋_GB2312" w:hAnsi="宋体" w:eastAsia="仿宋_GB2312" w:cs="宋体"/>
          <w:bCs/>
          <w:color w:val="000000"/>
          <w:kern w:val="0"/>
          <w:sz w:val="24"/>
          <w:lang w:val="en-US" w:eastAsia="zh-CN"/>
        </w:rPr>
        <w:t>臭味逸散类型</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本次计划治理的9处臭味逸散区域，臭味逸散类型为：</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穿墙孔洞封堵不严；</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穿墙电缆桥架封堵不严；</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垃圾池周边玻璃封堵不严；</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墙体裂缝；</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臭气风管密封不严；</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墙角裂缝。</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bookmarkStart w:id="12" w:name="_Toc7131"/>
      <w:r>
        <w:rPr>
          <w:rFonts w:hint="eastAsia" w:ascii="仿宋_GB2312" w:hAnsi="宋体" w:eastAsia="仿宋_GB2312" w:cs="宋体"/>
          <w:bCs/>
          <w:color w:val="000000"/>
          <w:kern w:val="0"/>
          <w:sz w:val="24"/>
          <w:lang w:val="en-US" w:eastAsia="zh-CN"/>
        </w:rPr>
        <w:t>三、臭味逸散点治理方法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w:t>
      </w:r>
      <w:bookmarkEnd w:id="12"/>
      <w:r>
        <w:rPr>
          <w:rFonts w:hint="eastAsia" w:ascii="仿宋_GB2312" w:hAnsi="宋体" w:eastAsia="仿宋_GB2312" w:cs="宋体"/>
          <w:bCs/>
          <w:color w:val="000000"/>
          <w:kern w:val="0"/>
          <w:sz w:val="24"/>
          <w:lang w:val="en-US" w:eastAsia="zh-CN"/>
        </w:rPr>
        <w:t>、风管、穿墙孔洞及穿墙线缆桥架的封堵处理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高密度聚氨酯材料；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②喷涂硬泡体聚氨酯发泡材料进行填充。</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③将配置好的防水密闭材料均匀喷涂于硬泡体聚氨酯。防水密闭材料喷涂遍数最少2遍。</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硬质聚氨酯发泡均匀，填充严密。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防水密闭材料搅拌均匀，均匀的喷涂在硬质聚氨酯表层，不可裸露硬质聚氨酯。</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bookmarkStart w:id="13" w:name="_Toc3323"/>
      <w:r>
        <w:rPr>
          <w:rFonts w:hint="eastAsia" w:ascii="仿宋_GB2312" w:hAnsi="宋体" w:eastAsia="仿宋_GB2312" w:cs="宋体"/>
          <w:bCs/>
          <w:color w:val="000000"/>
          <w:kern w:val="0"/>
          <w:sz w:val="24"/>
          <w:lang w:val="en-US" w:eastAsia="zh-CN"/>
        </w:rPr>
        <w:t>2、垃圾吊控制室</w:t>
      </w:r>
      <w:bookmarkEnd w:id="13"/>
      <w:r>
        <w:rPr>
          <w:rFonts w:hint="eastAsia" w:ascii="仿宋_GB2312" w:hAnsi="宋体" w:eastAsia="仿宋_GB2312" w:cs="宋体"/>
          <w:bCs/>
          <w:color w:val="000000"/>
          <w:kern w:val="0"/>
          <w:sz w:val="24"/>
          <w:lang w:val="en-US" w:eastAsia="zh-CN"/>
        </w:rPr>
        <w:t>玻璃封堵不严的治理</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bookmarkStart w:id="14" w:name="_Toc8716"/>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防水密闭材料专用加筋布</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②将配置好的防水密闭材料和加筋布以一布四涂的方式将窗框包裹和密封。</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③在贴布时要用美纹纸贴于窗框两侧以保证完工后的成品齐边和美观。</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1、在去除美纹纸时要在涂料晾干之前，以避免出现毛边的情况。</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2、在贴布时要保障窗框阴阳角处粘接严密，里面没有气泡和空隙。</w:t>
      </w:r>
    </w:p>
    <w:bookmarkEnd w:id="14"/>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3、墙角裂缝的治理方法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专用加筋布</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②将配置好的防水密闭材料和加筋布以一布四涂的方式贴于墙角。</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1、在贴布时要保障裂缝处粘接严密，里面没有气泡和空隙。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4、墙体裂缝的治理方法</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使用材料：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防水密闭材料；</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专用加筋布</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施工步骤：</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①基层清除垃圾，无松散杂物、无油污，有裂缝处先用 防水密闭材料和加筋布以一布四涂的方式将裂缝封堵。</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②将配置好的 防水密闭材料使用瓦格纳喷涂机均匀喷涂于基层上，防水密闭材料喷涂遍数为最少2 遍。</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施工注意事项：</w:t>
      </w:r>
    </w:p>
    <w:p>
      <w:pPr>
        <w:widowControl/>
        <w:spacing w:line="276" w:lineRule="auto"/>
        <w:ind w:left="578" w:leftChars="275"/>
        <w:jc w:val="left"/>
        <w:rPr>
          <w:rFonts w:hint="eastAsia" w:ascii="仿宋_GB2312" w:hAnsi="宋体" w:eastAsia="仿宋_GB2312" w:cs="宋体"/>
          <w:bCs/>
          <w:color w:val="000000"/>
          <w:kern w:val="0"/>
          <w:sz w:val="24"/>
          <w:lang w:val="en-US" w:eastAsia="zh-CN"/>
        </w:rPr>
      </w:pPr>
      <w:r>
        <w:rPr>
          <w:rFonts w:hint="eastAsia" w:ascii="仿宋_GB2312" w:hAnsi="宋体" w:eastAsia="仿宋_GB2312" w:cs="宋体"/>
          <w:bCs/>
          <w:color w:val="000000"/>
          <w:kern w:val="0"/>
          <w:sz w:val="24"/>
          <w:lang w:val="en-US" w:eastAsia="zh-CN"/>
        </w:rPr>
        <w:t>1、涂料应均匀的完全覆盖在基层上，基层应平整均匀。涂料喷涂过程中不得出现流淌。</w:t>
      </w:r>
    </w:p>
    <w:bookmarkEnd w:id="11"/>
    <w:p>
      <w:pPr>
        <w:widowControl/>
        <w:spacing w:line="276" w:lineRule="auto"/>
        <w:ind w:left="578" w:leftChars="275"/>
        <w:jc w:val="left"/>
        <w:rPr>
          <w:rFonts w:ascii="仿宋_GB2312" w:hAnsi="宋体" w:eastAsia="仿宋_GB2312" w:cs="宋体"/>
          <w:bCs/>
          <w:color w:val="000000"/>
          <w:kern w:val="0"/>
          <w:sz w:val="24"/>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pStyle w:val="6"/>
        <w:rPr>
          <w:rFonts w:ascii="仿宋_GB2312" w:hAnsi="Arial" w:eastAsia="仿宋_GB2312"/>
          <w:b/>
          <w:sz w:val="28"/>
          <w:szCs w:val="28"/>
        </w:rPr>
      </w:pPr>
    </w:p>
    <w:p>
      <w:pPr>
        <w:rPr>
          <w:rFonts w:hint="eastAsia" w:ascii="仿宋_GB2312" w:eastAsia="仿宋_GB2312"/>
        </w:rPr>
      </w:pPr>
      <w:r>
        <w:rPr>
          <w:rFonts w:hint="eastAsia" w:ascii="仿宋_GB2312" w:eastAsia="仿宋_GB2312"/>
        </w:rPr>
        <w:t>附件5：</w:t>
      </w:r>
    </w:p>
    <w:p>
      <w:pPr>
        <w:jc w:val="center"/>
        <w:rPr>
          <w:rFonts w:hint="eastAsia"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hint="eastAsia" w:ascii="仿宋" w:hAnsi="仿宋" w:eastAsia="仿宋" w:cs="仿宋"/>
          <w:sz w:val="30"/>
          <w:szCs w:val="30"/>
        </w:rPr>
      </w:pPr>
    </w:p>
    <w:p>
      <w:pPr>
        <w:spacing w:line="520" w:lineRule="exact"/>
        <w:rPr>
          <w:rFonts w:hint="eastAsia" w:ascii="仿宋_GB2312" w:hAnsi="仿宋" w:eastAsia="仿宋_GB2312" w:cs="仿宋"/>
          <w:sz w:val="30"/>
          <w:szCs w:val="30"/>
        </w:rPr>
      </w:pPr>
      <w:r>
        <w:rPr>
          <w:rFonts w:hint="eastAsia" w:ascii="仿宋_GB2312" w:hAnsi="宋体" w:eastAsia="仿宋_GB2312"/>
          <w:sz w:val="28"/>
          <w:lang w:val="en-US" w:eastAsia="zh-CN"/>
        </w:rPr>
        <w:t>长治首钢生物质能源有限公司</w:t>
      </w:r>
      <w:r>
        <w:rPr>
          <w:rFonts w:hint="eastAsia" w:ascii="仿宋_GB2312" w:hAnsi="仿宋" w:eastAsia="仿宋_GB2312" w:cs="仿宋"/>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lang w:val="en-US" w:eastAsia="zh-CN"/>
        </w:rPr>
        <w:t xml:space="preserve">        </w:t>
      </w:r>
      <w:r>
        <w:rPr>
          <w:rFonts w:hint="eastAsia" w:ascii="仿宋_GB2312" w:hAnsi="仿宋" w:eastAsia="仿宋_GB2312" w:cs="仿宋"/>
          <w:sz w:val="30"/>
          <w:szCs w:val="30"/>
          <w:u w:val="single"/>
        </w:rPr>
        <w:t>（</w:t>
      </w:r>
      <w:r>
        <w:rPr>
          <w:rFonts w:hint="eastAsia" w:ascii="仿宋_GB2312" w:hAnsi="仿宋" w:eastAsia="仿宋_GB2312" w:cs="仿宋"/>
          <w:color w:val="0000FF"/>
          <w:sz w:val="30"/>
          <w:szCs w:val="30"/>
        </w:rPr>
        <w:t>招标编号：</w:t>
      </w:r>
      <w:r>
        <w:rPr>
          <w:rFonts w:hint="eastAsia" w:ascii="仿宋_GB2312" w:hAnsi="仿宋" w:eastAsia="仿宋_GB2312" w:cs="仿宋"/>
          <w:color w:val="0000FF"/>
          <w:sz w:val="30"/>
          <w:szCs w:val="30"/>
          <w:lang w:val="en-US" w:eastAsia="zh-CN"/>
        </w:rPr>
        <w:t xml:space="preserve"> </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lang w:val="en-US" w:eastAsia="zh-CN"/>
        </w:rPr>
        <w:t>1</w:t>
      </w:r>
      <w:r>
        <w:rPr>
          <w:rFonts w:hint="eastAsia" w:ascii="仿宋_GB2312" w:hAnsi="仿宋" w:eastAsia="仿宋_GB2312" w:cs="仿宋"/>
          <w:sz w:val="30"/>
          <w:szCs w:val="30"/>
          <w:u w:val="single"/>
        </w:rPr>
        <w:t>0000</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w:t>
      </w:r>
      <w:r>
        <w:rPr>
          <w:rFonts w:hint="eastAsia" w:ascii="仿宋_GB2312" w:hAnsi="仿宋" w:eastAsia="仿宋_GB2312" w:cs="仿宋"/>
          <w:color w:val="auto"/>
          <w:sz w:val="30"/>
          <w:szCs w:val="30"/>
          <w:lang w:val="en-US" w:eastAsia="zh-CN"/>
        </w:rPr>
        <w:t>中标后转至招标方指定账户</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XXX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rPr>
      </w:pPr>
    </w:p>
    <w:p>
      <w:pPr>
        <w:rPr>
          <w:rFonts w:hint="eastAsia" w:ascii="仿宋_GB2312" w:hAnsi="仿宋" w:eastAsia="仿宋_GB2312" w:cs="仿宋"/>
          <w:sz w:val="30"/>
          <w:szCs w:val="30"/>
          <w:lang w:val="en-US" w:eastAsia="zh-CN"/>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p>
    <w:p>
      <w:pPr>
        <w:jc w:val="left"/>
        <w:rPr>
          <w:rFonts w:hint="eastAsia" w:ascii="仿宋_GB2312" w:hAnsi="宋体" w:eastAsia="仿宋_GB2312" w:cs="仿宋"/>
          <w:b/>
          <w:bCs/>
          <w:sz w:val="28"/>
          <w:szCs w:val="28"/>
        </w:rPr>
      </w:pPr>
      <w:bookmarkStart w:id="15" w:name="_GoBack"/>
      <w:bookmarkEnd w:id="15"/>
    </w:p>
    <w:sectPr>
      <w:headerReference r:id="rId3" w:type="default"/>
      <w:footerReference r:id="rId4" w:type="default"/>
      <w:pgSz w:w="11907" w:h="16840"/>
      <w:pgMar w:top="1361" w:right="1418" w:bottom="1361" w:left="1418" w:header="851" w:footer="964" w:gutter="284"/>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s>
  <w:rsids>
    <w:rsidRoot w:val="68303598"/>
    <w:rsid w:val="0C6368FF"/>
    <w:rsid w:val="10C1008B"/>
    <w:rsid w:val="20DC20C3"/>
    <w:rsid w:val="24253E3D"/>
    <w:rsid w:val="280C1B25"/>
    <w:rsid w:val="2AEA6823"/>
    <w:rsid w:val="37D86A3A"/>
    <w:rsid w:val="3F6F5ED1"/>
    <w:rsid w:val="4E1253E1"/>
    <w:rsid w:val="50F1344C"/>
    <w:rsid w:val="54E62189"/>
    <w:rsid w:val="5F6302C6"/>
    <w:rsid w:val="5F8F57E5"/>
    <w:rsid w:val="601B76ED"/>
    <w:rsid w:val="68303598"/>
    <w:rsid w:val="73940FCD"/>
    <w:rsid w:val="770C6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5">
    <w:name w:val="Normal Indent"/>
    <w:basedOn w:val="1"/>
    <w:qFormat/>
    <w:uiPriority w:val="0"/>
    <w:pPr>
      <w:ind w:firstLine="420"/>
    </w:pPr>
    <w:rPr>
      <w:szCs w:val="20"/>
    </w:rPr>
  </w:style>
  <w:style w:type="paragraph" w:styleId="6">
    <w:name w:val="Body Text"/>
    <w:basedOn w:val="1"/>
    <w:qFormat/>
    <w:uiPriority w:val="0"/>
    <w:pPr>
      <w:spacing w:line="0" w:lineRule="atLeast"/>
    </w:pPr>
    <w:rPr>
      <w:sz w:val="30"/>
      <w:szCs w:val="20"/>
    </w:rPr>
  </w:style>
  <w:style w:type="paragraph" w:styleId="7">
    <w:name w:val="Plain Text"/>
    <w:basedOn w:val="1"/>
    <w:qFormat/>
    <w:uiPriority w:val="0"/>
    <w:rPr>
      <w:rFonts w:ascii="宋体" w:hAnsi="Courier New"/>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qFormat/>
    <w:uiPriority w:val="0"/>
    <w:pPr>
      <w:widowControl/>
      <w:tabs>
        <w:tab w:val="center" w:pos="4153"/>
        <w:tab w:val="right" w:pos="8306"/>
      </w:tabs>
      <w:snapToGrid w:val="0"/>
      <w:jc w:val="left"/>
    </w:pPr>
    <w:rPr>
      <w:kern w:val="0"/>
      <w:sz w:val="18"/>
      <w:szCs w:val="20"/>
    </w:rPr>
  </w:style>
  <w:style w:type="paragraph" w:styleId="10">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1">
    <w:name w:val="footnote text"/>
    <w:basedOn w:val="1"/>
    <w:qFormat/>
    <w:uiPriority w:val="0"/>
    <w:pPr>
      <w:snapToGrid w:val="0"/>
      <w:jc w:val="left"/>
    </w:pPr>
    <w:rPr>
      <w:sz w:val="18"/>
      <w:szCs w:val="18"/>
    </w:rPr>
  </w:style>
  <w:style w:type="character" w:styleId="14">
    <w:name w:val="page number"/>
    <w:basedOn w:val="13"/>
    <w:qFormat/>
    <w:uiPriority w:val="0"/>
  </w:style>
  <w:style w:type="character" w:customStyle="1" w:styleId="15">
    <w:name w:val="NormalCharacter"/>
    <w:semiHidden/>
    <w:qFormat/>
    <w:uiPriority w:val="0"/>
  </w:style>
  <w:style w:type="paragraph" w:customStyle="1" w:styleId="1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8181</Words>
  <Characters>8455</Characters>
  <Lines>0</Lines>
  <Paragraphs>0</Paragraphs>
  <TotalTime>58</TotalTime>
  <ScaleCrop>false</ScaleCrop>
  <LinksUpToDate>false</LinksUpToDate>
  <CharactersWithSpaces>9632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Administrator</cp:lastModifiedBy>
  <cp:lastPrinted>2022-12-09T01:52:00Z</cp:lastPrinted>
  <dcterms:modified xsi:type="dcterms:W3CDTF">2022-12-09T05:17:04Z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1E962EE187A44C238963DC86C06BB06A</vt:lpwstr>
  </property>
</Properties>
</file>