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00" w:lineRule="exact"/>
        <w:jc w:val="center"/>
        <w:rPr>
          <w:rFonts w:hint="eastAsia" w:ascii="仿宋_GB2312" w:eastAsia="仿宋_GB2312"/>
          <w:b/>
          <w:color w:val="auto"/>
          <w:kern w:val="0"/>
          <w:sz w:val="28"/>
          <w:szCs w:val="28"/>
        </w:rPr>
      </w:pPr>
      <w:r>
        <w:rPr>
          <w:sz w:val="28"/>
        </w:rPr>
        <mc:AlternateContent>
          <mc:Choice Requires="wps">
            <w:drawing>
              <wp:anchor distT="0" distB="0" distL="114300" distR="114300" simplePos="0" relativeHeight="251659264" behindDoc="0" locked="0" layoutInCell="1" hidden="1" allowOverlap="1">
                <wp:simplePos x="0" y="0"/>
                <wp:positionH relativeFrom="column">
                  <wp:posOffset>-1207770</wp:posOffset>
                </wp:positionH>
                <wp:positionV relativeFrom="paragraph">
                  <wp:posOffset>-737235</wp:posOffset>
                </wp:positionV>
                <wp:extent cx="63500" cy="63500"/>
                <wp:effectExtent l="6350" t="6350" r="6350" b="6350"/>
                <wp:wrapNone/>
                <wp:docPr id="1" name="KGD_Gobal1" descr="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"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Gobal1" o:spid="_x0000_s1026" o:spt="1" alt="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" style="position:absolute;left:0pt;margin-left:-95.1pt;margin-top:-58.05pt;height:5pt;width:5pt;visibility:hidden;z-index:251659264;v-text-anchor:middle;mso-width-relative:page;mso-height-relative:page;" fillcolor="#5B9BD5 [3204]" filled="t" stroked="t" coordsize="21600,21600" o:gfxdata="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">
                <v:fill on="t" focussize="0,0"/>
                <v:stroke weight="1pt" color="#41719C [3204]" miterlimit="8" joinstyle="miter"/>
                <v:imagedata o:title=""/>
                <o:lock v:ext="edit" aspectratio="f"/>
              </v:rect>
            </w:pict>
          </mc:Fallback>
        </mc:AlternateContent>
      </w:r>
    </w:p>
    <w:p>
      <w:pPr>
        <w:spacing w:line="560" w:lineRule="exact"/>
        <w:jc w:val="center"/>
        <w:rPr>
          <w:rFonts w:hint="eastAsia" w:ascii="仿宋_GB2312" w:hAnsi="仿宋" w:eastAsia="仿宋_GB2312"/>
          <w:b/>
          <w:color w:val="auto"/>
          <w:sz w:val="32"/>
          <w:szCs w:val="32"/>
        </w:rPr>
      </w:pPr>
      <w:r>
        <w:rPr>
          <w:rFonts w:hint="eastAsia" w:ascii="仿宋_GB2312" w:hAnsi="仿宋" w:eastAsia="仿宋_GB2312"/>
          <w:b/>
          <w:color w:val="auto"/>
          <w:kern w:val="0"/>
          <w:sz w:val="32"/>
          <w:szCs w:val="32"/>
        </w:rPr>
        <w:t xml:space="preserve"> </w:t>
      </w:r>
    </w:p>
    <w:p>
      <w:pPr>
        <w:spacing w:line="380" w:lineRule="exact"/>
        <w:rPr>
          <w:rFonts w:ascii="仿宋_GB2312" w:hAnsi="Arial" w:eastAsia="仿宋_GB2312"/>
          <w:b/>
          <w:color w:val="auto"/>
          <w:sz w:val="28"/>
          <w:szCs w:val="28"/>
          <w:highlight w:val="none"/>
        </w:rPr>
      </w:pPr>
      <w:bookmarkStart w:id="0" w:name="_Toc65828643"/>
      <w:r>
        <w:rPr>
          <w:rFonts w:hint="eastAsia" w:ascii="仿宋_GB2312" w:hAnsi="Arial" w:eastAsia="仿宋_GB2312"/>
          <w:b/>
          <w:color w:val="auto"/>
          <w:sz w:val="28"/>
          <w:szCs w:val="28"/>
          <w:highlight w:val="none"/>
        </w:rPr>
        <w:t>附件2：</w:t>
      </w:r>
    </w:p>
    <w:p>
      <w:pPr>
        <w:pStyle w:val="11"/>
        <w:spacing w:line="500" w:lineRule="exact"/>
        <w:jc w:val="center"/>
        <w:rPr>
          <w:rFonts w:ascii="方正小标宋简体" w:eastAsia="方正小标宋简体"/>
          <w:b/>
          <w:color w:val="auto"/>
          <w:sz w:val="44"/>
          <w:szCs w:val="44"/>
          <w:highlight w:val="none"/>
        </w:rPr>
      </w:pPr>
      <w:r>
        <w:rPr>
          <w:rFonts w:hint="eastAsia" w:ascii="方正小标宋简体" w:eastAsia="方正小标宋简体"/>
          <w:b/>
          <w:color w:val="auto"/>
          <w:sz w:val="44"/>
          <w:szCs w:val="44"/>
          <w:highlight w:val="none"/>
        </w:rPr>
        <w:t>授</w:t>
      </w:r>
      <w:r>
        <w:rPr>
          <w:rFonts w:ascii="方正小标宋简体" w:eastAsia="方正小标宋简体"/>
          <w:b/>
          <w:color w:val="auto"/>
          <w:sz w:val="44"/>
          <w:szCs w:val="44"/>
          <w:highlight w:val="none"/>
        </w:rPr>
        <w:t xml:space="preserve"> </w:t>
      </w:r>
      <w:r>
        <w:rPr>
          <w:rFonts w:hint="eastAsia" w:ascii="方正小标宋简体" w:eastAsia="方正小标宋简体"/>
          <w:b/>
          <w:color w:val="auto"/>
          <w:sz w:val="44"/>
          <w:szCs w:val="44"/>
          <w:highlight w:val="none"/>
        </w:rPr>
        <w:t>权</w:t>
      </w:r>
      <w:r>
        <w:rPr>
          <w:rFonts w:ascii="方正小标宋简体" w:eastAsia="方正小标宋简体"/>
          <w:b/>
          <w:color w:val="auto"/>
          <w:sz w:val="44"/>
          <w:szCs w:val="44"/>
          <w:highlight w:val="none"/>
        </w:rPr>
        <w:t xml:space="preserve"> </w:t>
      </w:r>
      <w:r>
        <w:rPr>
          <w:rFonts w:hint="eastAsia" w:ascii="方正小标宋简体" w:eastAsia="方正小标宋简体"/>
          <w:b/>
          <w:color w:val="auto"/>
          <w:sz w:val="44"/>
          <w:szCs w:val="44"/>
          <w:highlight w:val="none"/>
        </w:rPr>
        <w:t>委</w:t>
      </w:r>
      <w:r>
        <w:rPr>
          <w:rFonts w:ascii="方正小标宋简体" w:eastAsia="方正小标宋简体"/>
          <w:b/>
          <w:color w:val="auto"/>
          <w:sz w:val="44"/>
          <w:szCs w:val="44"/>
          <w:highlight w:val="none"/>
        </w:rPr>
        <w:t xml:space="preserve"> </w:t>
      </w:r>
      <w:r>
        <w:rPr>
          <w:rFonts w:hint="eastAsia" w:ascii="方正小标宋简体" w:eastAsia="方正小标宋简体"/>
          <w:b/>
          <w:color w:val="auto"/>
          <w:sz w:val="44"/>
          <w:szCs w:val="44"/>
          <w:highlight w:val="none"/>
        </w:rPr>
        <w:t>托</w:t>
      </w:r>
      <w:r>
        <w:rPr>
          <w:rFonts w:ascii="方正小标宋简体" w:eastAsia="方正小标宋简体"/>
          <w:b/>
          <w:color w:val="auto"/>
          <w:sz w:val="44"/>
          <w:szCs w:val="44"/>
          <w:highlight w:val="none"/>
        </w:rPr>
        <w:t xml:space="preserve"> </w:t>
      </w:r>
      <w:r>
        <w:rPr>
          <w:rFonts w:hint="eastAsia" w:ascii="方正小标宋简体" w:eastAsia="方正小标宋简体"/>
          <w:b/>
          <w:color w:val="auto"/>
          <w:sz w:val="44"/>
          <w:szCs w:val="44"/>
          <w:highlight w:val="none"/>
        </w:rPr>
        <w:t>书</w:t>
      </w:r>
    </w:p>
    <w:p>
      <w:pPr>
        <w:spacing w:after="120" w:afterLines="50" w:line="500" w:lineRule="exact"/>
        <w:rPr>
          <w:rFonts w:ascii="仿宋_GB2312" w:eastAsia="仿宋_GB2312"/>
          <w:color w:val="auto"/>
          <w:sz w:val="30"/>
          <w:szCs w:val="30"/>
          <w:highlight w:val="none"/>
        </w:rPr>
      </w:pPr>
      <w:r>
        <w:rPr>
          <w:rFonts w:hint="eastAsia" w:ascii="仿宋_GB2312" w:hAnsi="宋体" w:eastAsia="仿宋_GB2312"/>
          <w:color w:val="auto"/>
          <w:sz w:val="28"/>
          <w:highlight w:val="none"/>
          <w:lang w:val="en-US" w:eastAsia="zh-CN"/>
        </w:rPr>
        <w:t>长治首钢生物质能源有限公司</w:t>
      </w:r>
      <w:r>
        <w:rPr>
          <w:rFonts w:hint="eastAsia" w:ascii="仿宋_GB2312" w:eastAsia="仿宋_GB2312"/>
          <w:color w:val="auto"/>
          <w:sz w:val="30"/>
          <w:szCs w:val="30"/>
          <w:highlight w:val="none"/>
        </w:rPr>
        <w:t>：</w:t>
      </w:r>
      <w:r>
        <w:rPr>
          <w:rFonts w:ascii="仿宋_GB2312" w:eastAsia="仿宋_GB2312"/>
          <w:color w:val="auto"/>
          <w:sz w:val="30"/>
          <w:szCs w:val="30"/>
          <w:highlight w:val="none"/>
        </w:rPr>
        <w:t xml:space="preserve">                                                                                                            </w:t>
      </w:r>
    </w:p>
    <w:p>
      <w:pPr>
        <w:widowControl/>
        <w:spacing w:before="100" w:beforeAutospacing="1" w:after="100" w:afterAutospacing="1" w:line="380" w:lineRule="exact"/>
        <w:ind w:firstLine="570"/>
        <w:jc w:val="left"/>
        <w:rPr>
          <w:rFonts w:ascii="宋体" w:cs="宋体"/>
          <w:color w:val="auto"/>
          <w:kern w:val="0"/>
          <w:highlight w:val="none"/>
        </w:rPr>
      </w:pPr>
      <w:r>
        <w:rPr>
          <w:rFonts w:hint="eastAsia" w:ascii="仿宋_GB2312" w:hAnsi="宋体" w:eastAsia="仿宋_GB2312" w:cs="宋体"/>
          <w:i/>
          <w:iCs/>
          <w:color w:val="auto"/>
          <w:kern w:val="0"/>
          <w:highlight w:val="none"/>
          <w:u w:val="single"/>
          <w:shd w:val="clear" w:color="auto" w:fill="E5E5E5"/>
        </w:rPr>
        <w:t>（单位名称）</w:t>
      </w:r>
      <w:r>
        <w:rPr>
          <w:rFonts w:ascii="仿宋_GB2312" w:hAnsi="宋体" w:eastAsia="仿宋_GB2312" w:cs="宋体"/>
          <w:i/>
          <w:iCs/>
          <w:color w:val="auto"/>
          <w:kern w:val="0"/>
          <w:highlight w:val="none"/>
          <w:u w:val="single"/>
          <w:shd w:val="clear" w:color="auto" w:fill="E5E5E5"/>
        </w:rPr>
        <w:t xml:space="preserve">     </w:t>
      </w:r>
      <w:r>
        <w:rPr>
          <w:rFonts w:hint="eastAsia" w:ascii="仿宋_GB2312" w:hAnsi="宋体" w:eastAsia="仿宋_GB2312" w:cs="宋体"/>
          <w:color w:val="auto"/>
          <w:kern w:val="0"/>
          <w:highlight w:val="none"/>
        </w:rPr>
        <w:t>是在中华人民共和国境内合法注册的企业，法定地址</w:t>
      </w:r>
      <w:r>
        <w:rPr>
          <w:rFonts w:hint="eastAsia" w:ascii="仿宋_GB2312" w:hAnsi="宋体" w:eastAsia="仿宋_GB2312" w:cs="宋体"/>
          <w:i/>
          <w:iCs/>
          <w:color w:val="auto"/>
          <w:kern w:val="0"/>
          <w:highlight w:val="none"/>
          <w:u w:val="single"/>
          <w:shd w:val="clear" w:color="auto" w:fill="E5E5E5"/>
        </w:rPr>
        <w:t>（营业执照上注明的地址）</w:t>
      </w:r>
      <w:r>
        <w:rPr>
          <w:rFonts w:hint="eastAsia" w:ascii="仿宋_GB2312" w:hAnsi="宋体" w:eastAsia="仿宋_GB2312" w:cs="宋体"/>
          <w:color w:val="auto"/>
          <w:kern w:val="0"/>
          <w:highlight w:val="none"/>
        </w:rPr>
        <w:t>，企业法人代码</w:t>
      </w:r>
      <w:r>
        <w:rPr>
          <w:rFonts w:hint="eastAsia" w:ascii="仿宋_GB2312" w:hAnsi="宋体" w:eastAsia="仿宋_GB2312" w:cs="宋体"/>
          <w:i/>
          <w:iCs/>
          <w:color w:val="auto"/>
          <w:kern w:val="0"/>
          <w:highlight w:val="none"/>
          <w:u w:val="single"/>
          <w:shd w:val="clear" w:color="auto" w:fill="E5E5E5"/>
        </w:rPr>
        <w:t>（法人代码）</w:t>
      </w:r>
      <w:r>
        <w:rPr>
          <w:rFonts w:hint="eastAsia" w:ascii="仿宋_GB2312" w:hAnsi="宋体" w:eastAsia="仿宋_GB2312" w:cs="宋体"/>
          <w:color w:val="auto"/>
          <w:kern w:val="0"/>
          <w:highlight w:val="none"/>
        </w:rPr>
        <w:t>，主要生产地点设在</w:t>
      </w:r>
      <w:r>
        <w:rPr>
          <w:rFonts w:hint="eastAsia" w:ascii="仿宋_GB2312" w:hAnsi="宋体" w:eastAsia="仿宋_GB2312" w:cs="宋体"/>
          <w:i/>
          <w:iCs/>
          <w:color w:val="auto"/>
          <w:kern w:val="0"/>
          <w:highlight w:val="none"/>
          <w:u w:val="single"/>
          <w:shd w:val="clear" w:color="auto" w:fill="E5E5E5"/>
        </w:rPr>
        <w:t>（生产厂地址）</w:t>
      </w:r>
      <w:r>
        <w:rPr>
          <w:rFonts w:hint="eastAsia" w:ascii="仿宋_GB2312" w:hAnsi="宋体" w:eastAsia="仿宋_GB2312" w:cs="宋体"/>
          <w:color w:val="auto"/>
          <w:kern w:val="0"/>
          <w:highlight w:val="none"/>
        </w:rPr>
        <w:t>。</w:t>
      </w:r>
    </w:p>
    <w:p>
      <w:pPr>
        <w:spacing w:after="120" w:afterLines="50" w:line="380" w:lineRule="exact"/>
        <w:ind w:firstLine="630"/>
        <w:rPr>
          <w:rFonts w:ascii="仿宋_GB2312" w:eastAsia="仿宋_GB2312"/>
          <w:color w:val="auto"/>
          <w:highlight w:val="none"/>
        </w:rPr>
      </w:pPr>
      <w:r>
        <w:rPr>
          <w:rFonts w:hint="eastAsia" w:ascii="仿宋_GB2312" w:eastAsia="仿宋_GB2312"/>
          <w:color w:val="auto"/>
          <w:highlight w:val="none"/>
        </w:rPr>
        <w:t>兹委托我单位下列代理人代表我方在贵公司全权办理</w:t>
      </w:r>
      <w:r>
        <w:rPr>
          <w:rFonts w:ascii="仿宋_GB2312" w:eastAsia="仿宋_GB2312"/>
          <w:i/>
          <w:color w:val="auto"/>
          <w:highlight w:val="none"/>
          <w:u w:val="single"/>
        </w:rPr>
        <w:t xml:space="preserve"> </w:t>
      </w:r>
      <w:r>
        <w:rPr>
          <w:rFonts w:ascii="仿宋_GB2312" w:eastAsia="仿宋_GB2312"/>
          <w:i/>
          <w:color w:val="auto"/>
          <w:highlight w:val="none"/>
          <w:u w:val="single"/>
          <w:shd w:val="pct10" w:color="auto" w:fill="FFFFFF"/>
        </w:rPr>
        <w:t xml:space="preserve"> </w:t>
      </w:r>
      <w:r>
        <w:rPr>
          <w:rFonts w:hint="eastAsia" w:ascii="仿宋_GB2312" w:hAnsi="宋体" w:eastAsia="仿宋_GB2312" w:cs="宋体"/>
          <w:i/>
          <w:color w:val="auto"/>
          <w:kern w:val="0"/>
          <w:highlight w:val="none"/>
          <w:u w:val="single"/>
          <w:shd w:val="pct10" w:color="auto" w:fill="FFFFFF"/>
        </w:rPr>
        <w:t>采购项目名称、采购编号</w:t>
      </w:r>
      <w:r>
        <w:rPr>
          <w:rFonts w:hint="eastAsia" w:ascii="仿宋_GB2312" w:hAnsi="宋体" w:eastAsia="仿宋_GB2312" w:cs="宋体"/>
          <w:color w:val="auto"/>
          <w:kern w:val="0"/>
          <w:highlight w:val="none"/>
        </w:rPr>
        <w:t>的投标及合同签订事宜。具体为：</w:t>
      </w:r>
      <w:r>
        <w:rPr>
          <w:rFonts w:ascii="仿宋_GB2312" w:hAnsi="宋体" w:eastAsia="仿宋_GB2312" w:cs="宋体"/>
          <w:color w:val="auto"/>
          <w:kern w:val="0"/>
          <w:highlight w:val="none"/>
        </w:rPr>
        <w:t>1</w:t>
      </w:r>
      <w:r>
        <w:rPr>
          <w:rFonts w:hint="eastAsia" w:ascii="仿宋_GB2312" w:hAnsi="宋体" w:eastAsia="仿宋_GB2312" w:cs="宋体"/>
          <w:color w:val="auto"/>
          <w:kern w:val="0"/>
          <w:highlight w:val="none"/>
        </w:rPr>
        <w:t>、负责签署本次投标文件、提交标书；对开标内容签字确认；接受询标并对标书中有错误或有歧义或根据招标人要求需对标书进一步说明澄清的内容，有权承认、放弃、变更，并签署有关文件。</w:t>
      </w:r>
      <w:r>
        <w:rPr>
          <w:rFonts w:ascii="仿宋_GB2312" w:hAnsi="宋体" w:eastAsia="仿宋_GB2312" w:cs="宋体"/>
          <w:color w:val="auto"/>
          <w:kern w:val="0"/>
          <w:highlight w:val="none"/>
        </w:rPr>
        <w:t>2</w:t>
      </w:r>
      <w:r>
        <w:rPr>
          <w:rFonts w:hint="eastAsia" w:ascii="仿宋_GB2312" w:hAnsi="宋体" w:eastAsia="仿宋_GB2312" w:cs="宋体"/>
          <w:color w:val="auto"/>
          <w:kern w:val="0"/>
          <w:highlight w:val="none"/>
        </w:rPr>
        <w:t>、签订合同、办理结算、代为收款、处理有关合同履行过程中的一切事宜，并签署相关文件。</w:t>
      </w:r>
      <w:r>
        <w:rPr>
          <w:rFonts w:ascii="仿宋_GB2312" w:eastAsia="仿宋_GB2312"/>
          <w:color w:val="auto"/>
          <w:highlight w:val="none"/>
        </w:rPr>
        <w:t xml:space="preserve">                                                                           </w:t>
      </w:r>
    </w:p>
    <w:p>
      <w:pPr>
        <w:spacing w:after="120" w:afterLines="50" w:line="380" w:lineRule="exact"/>
        <w:rPr>
          <w:rFonts w:ascii="仿宋_GB2312" w:eastAsia="仿宋_GB2312"/>
          <w:color w:val="auto"/>
        </w:rPr>
      </w:pPr>
      <w:r>
        <w:rPr>
          <w:rFonts w:ascii="仿宋_GB2312" w:eastAsia="仿宋_GB2312"/>
          <w:color w:val="auto"/>
          <w:highlight w:val="none"/>
        </w:rPr>
        <w:t xml:space="preserve">    </w:t>
      </w:r>
      <w:r>
        <w:rPr>
          <w:rFonts w:hint="eastAsia" w:ascii="仿宋_GB2312" w:eastAsia="仿宋_GB2312"/>
          <w:color w:val="auto"/>
          <w:highlight w:val="none"/>
        </w:rPr>
        <w:t>该代理人在授权范围内依法所签的书面文件和从</w:t>
      </w:r>
      <w:r>
        <w:rPr>
          <w:rFonts w:hint="eastAsia" w:ascii="仿宋_GB2312" w:eastAsia="仿宋_GB2312"/>
          <w:color w:val="auto"/>
        </w:rPr>
        <w:t>事的代理行为，我方均予以认可并自愿承担一切法律责任。</w:t>
      </w:r>
    </w:p>
    <w:p>
      <w:pPr>
        <w:widowControl/>
        <w:spacing w:before="100" w:beforeAutospacing="1" w:after="100" w:afterAutospacing="1" w:line="380" w:lineRule="atLeast"/>
        <w:ind w:firstLine="570"/>
        <w:jc w:val="left"/>
        <w:rPr>
          <w:rFonts w:ascii="宋体" w:cs="宋体"/>
          <w:color w:val="auto"/>
          <w:kern w:val="0"/>
        </w:rPr>
      </w:pPr>
      <w:r>
        <w:rPr>
          <w:rFonts w:hint="eastAsia" w:ascii="仿宋_GB2312" w:eastAsia="仿宋_GB2312"/>
          <w:color w:val="auto"/>
        </w:rPr>
        <w:t>授权期限：</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日至</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w:t>
      </w:r>
      <w:r>
        <w:rPr>
          <w:rFonts w:ascii="仿宋_GB2312" w:eastAsia="仿宋_GB2312"/>
          <w:color w:val="auto"/>
        </w:rPr>
        <w:t>.</w:t>
      </w:r>
      <w:r>
        <w:rPr>
          <w:rFonts w:hint="eastAsia" w:ascii="仿宋_GB2312" w:hAnsi="宋体" w:eastAsia="仿宋_GB2312" w:cs="宋体"/>
          <w:color w:val="auto"/>
          <w:kern w:val="0"/>
        </w:rPr>
        <w:t>代理人签署的所有文件（在本授权书有效期内签署的）不因授权的撤消而失效，特此声明。</w:t>
      </w:r>
    </w:p>
    <w:p>
      <w:pPr>
        <w:spacing w:after="120" w:afterLines="50" w:line="380" w:lineRule="exact"/>
        <w:ind w:firstLine="420" w:firstLineChars="200"/>
        <w:rPr>
          <w:rFonts w:ascii="仿宋_GB2312" w:eastAsia="仿宋_GB2312"/>
          <w:color w:val="auto"/>
        </w:rPr>
      </w:pPr>
      <w:r>
        <w:rPr>
          <w:rFonts w:hint="eastAsia" w:ascii="仿宋_GB2312" w:eastAsia="仿宋_GB2312"/>
          <w:color w:val="auto"/>
        </w:rPr>
        <w:t>代理人姓名：</w:t>
      </w:r>
      <w:r>
        <w:rPr>
          <w:rFonts w:ascii="仿宋_GB2312" w:eastAsia="仿宋_GB2312"/>
          <w:color w:val="auto"/>
        </w:rPr>
        <w:t xml:space="preserve">         </w:t>
      </w:r>
      <w:r>
        <w:rPr>
          <w:rFonts w:hint="eastAsia" w:ascii="仿宋_GB2312" w:eastAsia="仿宋_GB2312"/>
          <w:color w:val="auto"/>
        </w:rPr>
        <w:t>职务：</w:t>
      </w:r>
      <w:r>
        <w:rPr>
          <w:rFonts w:ascii="仿宋_GB2312" w:eastAsia="仿宋_GB2312"/>
          <w:color w:val="auto"/>
        </w:rPr>
        <w:t xml:space="preserve">           </w:t>
      </w:r>
      <w:r>
        <w:rPr>
          <w:rFonts w:hint="eastAsia" w:ascii="仿宋_GB2312" w:eastAsia="仿宋_GB2312"/>
          <w:color w:val="auto"/>
        </w:rPr>
        <w:t>联系方式：</w:t>
      </w:r>
    </w:p>
    <w:p>
      <w:pPr>
        <w:spacing w:after="120" w:afterLines="50" w:line="380" w:lineRule="exact"/>
        <w:rPr>
          <w:rFonts w:ascii="仿宋_GB2312" w:eastAsia="仿宋_GB2312"/>
          <w:color w:val="auto"/>
        </w:rPr>
      </w:pPr>
      <w:r>
        <w:rPr>
          <w:rFonts w:hint="eastAsia" w:ascii="仿宋_GB2312" w:eastAsia="仿宋_GB2312"/>
          <w:color w:val="auto"/>
        </w:rPr>
        <w:t>代理人身份证复印件（粘贴处）：</w:t>
      </w:r>
    </w:p>
    <w:p>
      <w:pPr>
        <w:spacing w:after="120" w:afterLines="50"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r>
        <w:rPr>
          <w:rFonts w:hint="eastAsia" w:ascii="仿宋_GB2312" w:eastAsia="仿宋_GB2312"/>
          <w:color w:val="auto"/>
        </w:rPr>
        <w:t>代理人签字：</w:t>
      </w: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授权人盖章（行政公章）：</w:t>
      </w:r>
    </w:p>
    <w:p>
      <w:pPr>
        <w:spacing w:line="380" w:lineRule="exact"/>
        <w:rPr>
          <w:rFonts w:ascii="仿宋_GB2312" w:eastAsia="仿宋_GB2312"/>
          <w:color w:val="auto"/>
        </w:rPr>
      </w:pP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法定代表人盖章并签字</w:t>
      </w:r>
      <w:r>
        <w:rPr>
          <w:rFonts w:ascii="仿宋_GB2312" w:eastAsia="仿宋_GB2312"/>
          <w:color w:val="auto"/>
        </w:rPr>
        <w:t xml:space="preserve">: </w:t>
      </w: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spacing w:line="380" w:lineRule="exact"/>
        <w:rPr>
          <w:rFonts w:ascii="仿宋_GB2312" w:hAnsi="Arial" w:eastAsia="仿宋_GB2312"/>
          <w:color w:val="auto"/>
          <w:sz w:val="28"/>
          <w:szCs w:val="28"/>
        </w:rPr>
        <w:sectPr>
          <w:headerReference r:id="rId3" w:type="default"/>
          <w:footerReference r:id="rId4" w:type="default"/>
          <w:pgSz w:w="11906" w:h="16838"/>
          <w:pgMar w:top="1134" w:right="1202" w:bottom="1134" w:left="1202" w:header="851" w:footer="697" w:gutter="0"/>
          <w:cols w:space="720" w:num="1"/>
          <w:docGrid w:linePitch="326" w:charSpace="0"/>
        </w:sectPr>
      </w:pPr>
    </w:p>
    <w:bookmarkEnd w:id="0"/>
    <w:p>
      <w:pPr>
        <w:widowControl/>
        <w:spacing w:line="480" w:lineRule="exact"/>
        <w:jc w:val="left"/>
        <w:rPr>
          <w:rFonts w:hint="eastAsia" w:ascii="仿宋_GB2312" w:hAnsi="Arial" w:eastAsia="仿宋_GB2312"/>
          <w:b/>
          <w:color w:val="auto"/>
          <w:sz w:val="28"/>
          <w:szCs w:val="28"/>
          <w:lang w:val="en-US" w:eastAsia="zh-CN"/>
        </w:rPr>
      </w:pPr>
      <w:r>
        <w:rPr>
          <w:rFonts w:hint="eastAsia" w:ascii="仿宋_GB2312" w:hAnsi="Arial" w:eastAsia="仿宋_GB2312"/>
          <w:b/>
          <w:color w:val="auto"/>
          <w:sz w:val="28"/>
          <w:szCs w:val="28"/>
        </w:rPr>
        <w:t>附件4：</w:t>
      </w:r>
      <w:r>
        <w:rPr>
          <w:rFonts w:hint="eastAsia" w:ascii="仿宋_GB2312" w:hAnsi="Arial" w:eastAsia="仿宋_GB2312"/>
          <w:b/>
          <w:color w:val="auto"/>
          <w:sz w:val="28"/>
          <w:szCs w:val="28"/>
          <w:lang w:val="en-US" w:eastAsia="zh-CN"/>
        </w:rPr>
        <w:t>厌氧罐检修施工方案要求</w:t>
      </w:r>
    </w:p>
    <w:p>
      <w:pPr>
        <w:widowControl/>
        <w:spacing w:line="480" w:lineRule="exact"/>
        <w:jc w:val="left"/>
        <w:rPr>
          <w:rFonts w:hint="eastAsia" w:ascii="仿宋_GB2312" w:hAnsi="仿宋_GB2312" w:eastAsia="仿宋_GB2312" w:cs="仿宋_GB2312"/>
          <w:b w:val="0"/>
          <w:bCs/>
          <w:color w:val="auto"/>
          <w:sz w:val="28"/>
          <w:szCs w:val="28"/>
          <w:lang w:val="en-US" w:eastAsia="zh-CN"/>
        </w:rPr>
      </w:pPr>
      <w:r>
        <w:rPr>
          <w:rFonts w:hint="eastAsia" w:ascii="仿宋_GB2312" w:hAnsi="Arial" w:eastAsia="仿宋_GB2312"/>
          <w:b/>
          <w:color w:val="auto"/>
          <w:sz w:val="28"/>
          <w:szCs w:val="28"/>
          <w:lang w:val="en-US" w:eastAsia="zh-CN"/>
        </w:rPr>
        <w:t xml:space="preserve">    </w:t>
      </w:r>
      <w:r>
        <w:rPr>
          <w:rFonts w:hint="eastAsia" w:ascii="仿宋_GB2312" w:hAnsi="仿宋_GB2312" w:eastAsia="仿宋_GB2312" w:cs="仿宋_GB2312"/>
          <w:b w:val="0"/>
          <w:bCs/>
          <w:color w:val="auto"/>
          <w:sz w:val="28"/>
          <w:szCs w:val="28"/>
          <w:lang w:val="en-US" w:eastAsia="zh-CN"/>
        </w:rPr>
        <w:t>对现有两个厌氧系统配套的内部设施进行大修，包括厌氧罐内现有设施的清淤，拆除以及更换设施的供货安装，确保厌氧系统的正常应用。在施工过程中提供安全防护措施，保证施工操作人员的安全。</w:t>
      </w:r>
    </w:p>
    <w:p>
      <w:pPr>
        <w:widowControl/>
        <w:spacing w:line="480" w:lineRule="exact"/>
        <w:jc w:val="left"/>
        <w:rPr>
          <w:rFonts w:hint="eastAsia" w:ascii="仿宋_GB2312" w:hAnsi="仿宋_GB2312" w:eastAsia="仿宋_GB2312" w:cs="仿宋_GB2312"/>
          <w:b w:val="0"/>
          <w:bCs/>
          <w:color w:val="auto"/>
          <w:sz w:val="28"/>
          <w:szCs w:val="28"/>
          <w:lang w:eastAsia="zh-CN"/>
        </w:rPr>
      </w:pPr>
    </w:p>
    <w:p>
      <w:pPr>
        <w:widowControl/>
        <w:spacing w:line="480" w:lineRule="exact"/>
        <w:jc w:val="left"/>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lang w:val="en-US" w:eastAsia="zh-CN"/>
        </w:rPr>
        <w:t>1</w:t>
      </w:r>
      <w:r>
        <w:rPr>
          <w:rFonts w:hint="eastAsia" w:ascii="仿宋_GB2312" w:hAnsi="仿宋_GB2312" w:eastAsia="仿宋_GB2312" w:cs="仿宋_GB2312"/>
          <w:b w:val="0"/>
          <w:bCs/>
          <w:color w:val="auto"/>
          <w:sz w:val="28"/>
          <w:szCs w:val="28"/>
        </w:rPr>
        <w:t>、主要技术参数</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96"/>
        <w:gridCol w:w="60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75" w:type="dxa"/>
            <w:gridSpan w:val="2"/>
            <w:noWrap w:val="0"/>
            <w:vAlign w:val="center"/>
          </w:tcPr>
          <w:p>
            <w:pPr>
              <w:widowControl/>
              <w:spacing w:line="480" w:lineRule="exact"/>
              <w:jc w:val="left"/>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 xml:space="preserve">            厌氧内部设备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96" w:type="dxa"/>
            <w:noWrap w:val="0"/>
            <w:vAlign w:val="center"/>
          </w:tcPr>
          <w:p>
            <w:pPr>
              <w:widowControl/>
              <w:spacing w:line="480" w:lineRule="exact"/>
              <w:jc w:val="left"/>
              <w:rPr>
                <w:rFonts w:hint="eastAsia" w:ascii="仿宋_GB2312" w:hAnsi="仿宋_GB2312" w:eastAsia="仿宋_GB2312" w:cs="仿宋_GB2312"/>
                <w:b w:val="0"/>
                <w:bCs/>
                <w:color w:val="auto"/>
                <w:sz w:val="28"/>
                <w:szCs w:val="28"/>
                <w:lang w:eastAsia="zh-CN"/>
              </w:rPr>
            </w:pPr>
            <w:r>
              <w:rPr>
                <w:rFonts w:hint="eastAsia" w:ascii="仿宋_GB2312" w:hAnsi="仿宋_GB2312" w:eastAsia="仿宋_GB2312" w:cs="仿宋_GB2312"/>
                <w:b w:val="0"/>
                <w:bCs/>
                <w:color w:val="auto"/>
                <w:sz w:val="28"/>
                <w:szCs w:val="28"/>
              </w:rPr>
              <w:t>处理水量</w:t>
            </w:r>
            <w:r>
              <w:rPr>
                <w:rFonts w:hint="eastAsia" w:ascii="仿宋_GB2312" w:hAnsi="仿宋_GB2312" w:eastAsia="仿宋_GB2312" w:cs="仿宋_GB2312"/>
                <w:b w:val="0"/>
                <w:bCs/>
                <w:color w:val="auto"/>
                <w:sz w:val="28"/>
                <w:szCs w:val="28"/>
                <w:lang w:eastAsia="zh-CN"/>
              </w:rPr>
              <w:t>（单套）</w:t>
            </w:r>
          </w:p>
        </w:tc>
        <w:tc>
          <w:tcPr>
            <w:tcW w:w="6079" w:type="dxa"/>
            <w:noWrap w:val="0"/>
            <w:vAlign w:val="center"/>
          </w:tcPr>
          <w:p>
            <w:pPr>
              <w:widowControl/>
              <w:spacing w:line="480" w:lineRule="exact"/>
              <w:jc w:val="left"/>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200</w:t>
            </w:r>
            <w:r>
              <w:rPr>
                <w:rFonts w:hint="eastAsia" w:ascii="仿宋_GB2312" w:hAnsi="仿宋_GB2312" w:eastAsia="仿宋_GB2312" w:cs="仿宋_GB2312"/>
                <w:b w:val="0"/>
                <w:bCs/>
                <w:color w:val="auto"/>
                <w:sz w:val="28"/>
                <w:szCs w:val="28"/>
                <w:lang w:val="en-US" w:eastAsia="zh-CN"/>
              </w:rPr>
              <w:t>m³</w:t>
            </w:r>
            <w:r>
              <w:rPr>
                <w:rFonts w:hint="eastAsia" w:ascii="仿宋_GB2312" w:hAnsi="仿宋_GB2312" w:eastAsia="仿宋_GB2312" w:cs="仿宋_GB2312"/>
                <w:b w:val="0"/>
                <w:bCs/>
                <w:color w:val="auto"/>
                <w:sz w:val="28"/>
                <w:szCs w:val="28"/>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96" w:type="dxa"/>
            <w:noWrap w:val="0"/>
            <w:vAlign w:val="center"/>
          </w:tcPr>
          <w:p>
            <w:pPr>
              <w:widowControl/>
              <w:spacing w:line="480" w:lineRule="exact"/>
              <w:jc w:val="left"/>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罐体尺寸</w:t>
            </w:r>
          </w:p>
        </w:tc>
        <w:tc>
          <w:tcPr>
            <w:tcW w:w="6079" w:type="dxa"/>
            <w:noWrap w:val="0"/>
            <w:vAlign w:val="center"/>
          </w:tcPr>
          <w:p>
            <w:pPr>
              <w:widowControl/>
              <w:spacing w:line="480" w:lineRule="exact"/>
              <w:jc w:val="left"/>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罐体尺寸：ф11.46m×14.4m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96" w:type="dxa"/>
            <w:noWrap w:val="0"/>
            <w:vAlign w:val="center"/>
          </w:tcPr>
          <w:p>
            <w:pPr>
              <w:widowControl/>
              <w:spacing w:line="480" w:lineRule="exact"/>
              <w:jc w:val="left"/>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数量</w:t>
            </w:r>
          </w:p>
        </w:tc>
        <w:tc>
          <w:tcPr>
            <w:tcW w:w="6079" w:type="dxa"/>
            <w:noWrap w:val="0"/>
            <w:vAlign w:val="center"/>
          </w:tcPr>
          <w:p>
            <w:pPr>
              <w:widowControl/>
              <w:spacing w:line="480" w:lineRule="exact"/>
              <w:jc w:val="left"/>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2套</w:t>
            </w:r>
          </w:p>
        </w:tc>
      </w:tr>
    </w:tbl>
    <w:p>
      <w:pPr>
        <w:widowControl/>
        <w:spacing w:line="480" w:lineRule="exact"/>
        <w:jc w:val="left"/>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lang w:val="en-US" w:eastAsia="zh-CN"/>
        </w:rPr>
        <w:t>2</w:t>
      </w:r>
      <w:r>
        <w:rPr>
          <w:rFonts w:hint="eastAsia" w:ascii="仿宋_GB2312" w:hAnsi="仿宋_GB2312" w:eastAsia="仿宋_GB2312" w:cs="仿宋_GB2312"/>
          <w:b w:val="0"/>
          <w:bCs/>
          <w:color w:val="auto"/>
          <w:sz w:val="28"/>
          <w:szCs w:val="28"/>
        </w:rPr>
        <w:t>、</w:t>
      </w:r>
      <w:r>
        <w:rPr>
          <w:rFonts w:hint="eastAsia" w:ascii="仿宋_GB2312" w:hAnsi="仿宋_GB2312" w:eastAsia="仿宋_GB2312" w:cs="仿宋_GB2312"/>
          <w:b w:val="0"/>
          <w:bCs/>
          <w:color w:val="auto"/>
          <w:sz w:val="28"/>
          <w:szCs w:val="28"/>
          <w:lang w:val="en-US" w:eastAsia="zh-CN"/>
        </w:rPr>
        <w:t>检修</w:t>
      </w:r>
      <w:r>
        <w:rPr>
          <w:rFonts w:hint="eastAsia" w:ascii="仿宋_GB2312" w:hAnsi="仿宋_GB2312" w:eastAsia="仿宋_GB2312" w:cs="仿宋_GB2312"/>
          <w:b w:val="0"/>
          <w:bCs/>
          <w:color w:val="auto"/>
          <w:sz w:val="28"/>
          <w:szCs w:val="28"/>
        </w:rPr>
        <w:t>范围：</w:t>
      </w:r>
    </w:p>
    <w:tbl>
      <w:tblPr>
        <w:tblStyle w:val="13"/>
        <w:tblW w:w="8903" w:type="dxa"/>
        <w:jc w:val="center"/>
        <w:tblLayout w:type="fixed"/>
        <w:tblCellMar>
          <w:top w:w="15" w:type="dxa"/>
          <w:left w:w="15" w:type="dxa"/>
          <w:bottom w:w="15" w:type="dxa"/>
          <w:right w:w="15" w:type="dxa"/>
        </w:tblCellMar>
      </w:tblPr>
      <w:tblGrid>
        <w:gridCol w:w="900"/>
        <w:gridCol w:w="1800"/>
        <w:gridCol w:w="1680"/>
        <w:gridCol w:w="939"/>
        <w:gridCol w:w="769"/>
        <w:gridCol w:w="1661"/>
        <w:gridCol w:w="1154"/>
      </w:tblGrid>
      <w:tr>
        <w:tblPrEx>
          <w:tblCellMar>
            <w:top w:w="15" w:type="dxa"/>
            <w:left w:w="15" w:type="dxa"/>
            <w:bottom w:w="15" w:type="dxa"/>
            <w:right w:w="15" w:type="dxa"/>
          </w:tblCellMar>
        </w:tblPrEx>
        <w:trPr>
          <w:trHeight w:val="495" w:hRule="atLeast"/>
          <w:jc w:val="center"/>
        </w:trPr>
        <w:tc>
          <w:tcPr>
            <w:tcW w:w="8903" w:type="dxa"/>
            <w:gridSpan w:val="7"/>
            <w:noWrap w:val="0"/>
            <w:vAlign w:val="bottom"/>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设 备 明 细</w:t>
            </w:r>
          </w:p>
        </w:tc>
      </w:tr>
      <w:tr>
        <w:tblPrEx>
          <w:tblCellMar>
            <w:top w:w="15" w:type="dxa"/>
            <w:left w:w="15" w:type="dxa"/>
            <w:bottom w:w="15" w:type="dxa"/>
            <w:right w:w="15" w:type="dxa"/>
          </w:tblCellMar>
        </w:tblPrEx>
        <w:trPr>
          <w:trHeight w:val="495" w:hRule="atLeast"/>
          <w:jc w:val="center"/>
        </w:trPr>
        <w:tc>
          <w:tcPr>
            <w:tcW w:w="900" w:type="dxa"/>
            <w:tcBorders>
              <w:top w:val="single" w:color="000000" w:sz="12" w:space="0"/>
              <w:left w:val="single" w:color="000000" w:sz="12" w:space="0"/>
              <w:bottom w:val="single" w:color="000000" w:sz="4" w:space="0"/>
              <w:right w:val="single" w:color="000000" w:sz="4" w:space="0"/>
            </w:tcBorders>
            <w:noWrap w:val="0"/>
            <w:vAlign w:val="bottom"/>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序号</w:t>
            </w:r>
          </w:p>
        </w:tc>
        <w:tc>
          <w:tcPr>
            <w:tcW w:w="1800" w:type="dxa"/>
            <w:tcBorders>
              <w:top w:val="single" w:color="000000" w:sz="12" w:space="0"/>
              <w:left w:val="single" w:color="000000" w:sz="4" w:space="0"/>
              <w:bottom w:val="single" w:color="000000" w:sz="4" w:space="0"/>
              <w:right w:val="single" w:color="000000" w:sz="4" w:space="0"/>
            </w:tcBorders>
            <w:noWrap w:val="0"/>
            <w:vAlign w:val="bottom"/>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设 备 名 称</w:t>
            </w:r>
          </w:p>
        </w:tc>
        <w:tc>
          <w:tcPr>
            <w:tcW w:w="1680" w:type="dxa"/>
            <w:tcBorders>
              <w:top w:val="single" w:color="000000" w:sz="12" w:space="0"/>
              <w:left w:val="single" w:color="000000" w:sz="4" w:space="0"/>
              <w:bottom w:val="single" w:color="000000" w:sz="4" w:space="0"/>
              <w:right w:val="single" w:color="000000" w:sz="4" w:space="0"/>
            </w:tcBorders>
            <w:noWrap w:val="0"/>
            <w:vAlign w:val="bottom"/>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型号、规格</w:t>
            </w:r>
          </w:p>
        </w:tc>
        <w:tc>
          <w:tcPr>
            <w:tcW w:w="939" w:type="dxa"/>
            <w:tcBorders>
              <w:top w:val="single" w:color="000000" w:sz="12" w:space="0"/>
              <w:left w:val="single" w:color="000000" w:sz="4" w:space="0"/>
              <w:bottom w:val="single" w:color="000000" w:sz="4" w:space="0"/>
              <w:right w:val="single" w:color="000000" w:sz="4" w:space="0"/>
            </w:tcBorders>
            <w:noWrap w:val="0"/>
            <w:vAlign w:val="bottom"/>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单位</w:t>
            </w:r>
          </w:p>
        </w:tc>
        <w:tc>
          <w:tcPr>
            <w:tcW w:w="769" w:type="dxa"/>
            <w:tcBorders>
              <w:top w:val="single" w:color="000000" w:sz="12" w:space="0"/>
              <w:left w:val="single" w:color="000000" w:sz="4" w:space="0"/>
              <w:bottom w:val="single" w:color="000000" w:sz="4" w:space="0"/>
              <w:right w:val="single" w:color="000000" w:sz="4" w:space="0"/>
            </w:tcBorders>
            <w:noWrap w:val="0"/>
            <w:vAlign w:val="bottom"/>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数量</w:t>
            </w:r>
          </w:p>
        </w:tc>
        <w:tc>
          <w:tcPr>
            <w:tcW w:w="1661" w:type="dxa"/>
            <w:tcBorders>
              <w:top w:val="single" w:color="000000" w:sz="12" w:space="0"/>
              <w:left w:val="single" w:color="000000" w:sz="4" w:space="0"/>
              <w:bottom w:val="single" w:color="000000" w:sz="4" w:space="0"/>
              <w:right w:val="single" w:color="000000" w:sz="4" w:space="0"/>
            </w:tcBorders>
            <w:noWrap w:val="0"/>
            <w:vAlign w:val="bottom"/>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材质</w:t>
            </w:r>
          </w:p>
        </w:tc>
        <w:tc>
          <w:tcPr>
            <w:tcW w:w="1154" w:type="dxa"/>
            <w:tcBorders>
              <w:top w:val="single" w:color="000000" w:sz="12" w:space="0"/>
              <w:left w:val="single" w:color="000000" w:sz="4" w:space="0"/>
              <w:bottom w:val="single" w:color="000000" w:sz="4" w:space="0"/>
              <w:right w:val="single" w:color="000000" w:sz="12" w:space="0"/>
            </w:tcBorders>
            <w:noWrap w:val="0"/>
            <w:vAlign w:val="bottom"/>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备注</w:t>
            </w:r>
          </w:p>
        </w:tc>
      </w:tr>
      <w:tr>
        <w:tblPrEx>
          <w:tblCellMar>
            <w:top w:w="15" w:type="dxa"/>
            <w:left w:w="15" w:type="dxa"/>
            <w:bottom w:w="15" w:type="dxa"/>
            <w:right w:w="15" w:type="dxa"/>
          </w:tblCellMar>
        </w:tblPrEx>
        <w:trPr>
          <w:trHeight w:val="600" w:hRule="atLeast"/>
          <w:jc w:val="center"/>
        </w:trPr>
        <w:tc>
          <w:tcPr>
            <w:tcW w:w="900" w:type="dxa"/>
            <w:tcBorders>
              <w:left w:val="single" w:color="000000" w:sz="12"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1</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进水布水器</w:t>
            </w:r>
          </w:p>
        </w:tc>
        <w:tc>
          <w:tcPr>
            <w:tcW w:w="1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Φ200×35000mm</w:t>
            </w:r>
          </w:p>
        </w:tc>
        <w:tc>
          <w:tcPr>
            <w:tcW w:w="93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套</w:t>
            </w:r>
          </w:p>
        </w:tc>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2</w:t>
            </w:r>
          </w:p>
        </w:tc>
        <w:tc>
          <w:tcPr>
            <w:tcW w:w="16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UPVC</w:t>
            </w:r>
          </w:p>
        </w:tc>
        <w:tc>
          <w:tcPr>
            <w:tcW w:w="1154" w:type="dxa"/>
            <w:tcBorders>
              <w:top w:val="single" w:color="000000" w:sz="4" w:space="0"/>
              <w:left w:val="single" w:color="000000" w:sz="4" w:space="0"/>
              <w:bottom w:val="single" w:color="000000" w:sz="4" w:space="0"/>
              <w:right w:val="single" w:color="000000" w:sz="12"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p>
        </w:tc>
      </w:tr>
      <w:tr>
        <w:tblPrEx>
          <w:tblCellMar>
            <w:top w:w="15" w:type="dxa"/>
            <w:left w:w="15" w:type="dxa"/>
            <w:bottom w:w="15" w:type="dxa"/>
            <w:right w:w="15" w:type="dxa"/>
          </w:tblCellMar>
        </w:tblPrEx>
        <w:trPr>
          <w:trHeight w:val="660" w:hRule="atLeast"/>
          <w:jc w:val="center"/>
        </w:trPr>
        <w:tc>
          <w:tcPr>
            <w:tcW w:w="900" w:type="dxa"/>
            <w:tcBorders>
              <w:left w:val="single" w:color="000000" w:sz="12"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2</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循环布水及搅拌</w:t>
            </w:r>
          </w:p>
        </w:tc>
        <w:tc>
          <w:tcPr>
            <w:tcW w:w="1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Φ200×30000mm</w:t>
            </w:r>
          </w:p>
        </w:tc>
        <w:tc>
          <w:tcPr>
            <w:tcW w:w="93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套</w:t>
            </w:r>
          </w:p>
        </w:tc>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2</w:t>
            </w:r>
          </w:p>
        </w:tc>
        <w:tc>
          <w:tcPr>
            <w:tcW w:w="16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UPVC</w:t>
            </w:r>
          </w:p>
        </w:tc>
        <w:tc>
          <w:tcPr>
            <w:tcW w:w="1154" w:type="dxa"/>
            <w:tcBorders>
              <w:top w:val="single" w:color="000000" w:sz="4" w:space="0"/>
              <w:left w:val="single" w:color="000000" w:sz="4" w:space="0"/>
              <w:bottom w:val="single" w:color="000000" w:sz="4" w:space="0"/>
              <w:right w:val="single" w:color="000000" w:sz="12"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p>
        </w:tc>
      </w:tr>
      <w:tr>
        <w:tblPrEx>
          <w:tblCellMar>
            <w:top w:w="15" w:type="dxa"/>
            <w:left w:w="15" w:type="dxa"/>
            <w:bottom w:w="15" w:type="dxa"/>
            <w:right w:w="15" w:type="dxa"/>
          </w:tblCellMar>
        </w:tblPrEx>
        <w:trPr>
          <w:trHeight w:val="720" w:hRule="atLeast"/>
          <w:jc w:val="center"/>
        </w:trPr>
        <w:tc>
          <w:tcPr>
            <w:tcW w:w="900" w:type="dxa"/>
            <w:tcBorders>
              <w:left w:val="single" w:color="000000" w:sz="12"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3</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微生物承载器</w:t>
            </w:r>
          </w:p>
        </w:tc>
        <w:tc>
          <w:tcPr>
            <w:tcW w:w="1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与罐体配套</w:t>
            </w:r>
          </w:p>
        </w:tc>
        <w:tc>
          <w:tcPr>
            <w:tcW w:w="93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套</w:t>
            </w:r>
          </w:p>
        </w:tc>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2</w:t>
            </w:r>
          </w:p>
        </w:tc>
        <w:tc>
          <w:tcPr>
            <w:tcW w:w="16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不锈钢304</w:t>
            </w:r>
          </w:p>
        </w:tc>
        <w:tc>
          <w:tcPr>
            <w:tcW w:w="1154" w:type="dxa"/>
            <w:tcBorders>
              <w:top w:val="single" w:color="000000" w:sz="4" w:space="0"/>
              <w:left w:val="single" w:color="000000" w:sz="4" w:space="0"/>
              <w:bottom w:val="single" w:color="000000" w:sz="4" w:space="0"/>
              <w:right w:val="single" w:color="000000" w:sz="12"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p>
        </w:tc>
      </w:tr>
      <w:tr>
        <w:tblPrEx>
          <w:tblCellMar>
            <w:top w:w="15" w:type="dxa"/>
            <w:left w:w="15" w:type="dxa"/>
            <w:bottom w:w="15" w:type="dxa"/>
            <w:right w:w="15" w:type="dxa"/>
          </w:tblCellMar>
        </w:tblPrEx>
        <w:trPr>
          <w:trHeight w:val="495" w:hRule="atLeast"/>
          <w:jc w:val="center"/>
        </w:trPr>
        <w:tc>
          <w:tcPr>
            <w:tcW w:w="900" w:type="dxa"/>
            <w:tcBorders>
              <w:left w:val="single" w:color="000000" w:sz="12"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4</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填料</w:t>
            </w:r>
          </w:p>
        </w:tc>
        <w:tc>
          <w:tcPr>
            <w:tcW w:w="1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Φ150×9000mm</w:t>
            </w:r>
          </w:p>
        </w:tc>
        <w:tc>
          <w:tcPr>
            <w:tcW w:w="93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立方</w:t>
            </w:r>
          </w:p>
        </w:tc>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2000</w:t>
            </w:r>
          </w:p>
        </w:tc>
        <w:tc>
          <w:tcPr>
            <w:tcW w:w="16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PP</w:t>
            </w:r>
          </w:p>
        </w:tc>
        <w:tc>
          <w:tcPr>
            <w:tcW w:w="1154" w:type="dxa"/>
            <w:tcBorders>
              <w:top w:val="single" w:color="000000" w:sz="4" w:space="0"/>
              <w:left w:val="single" w:color="000000" w:sz="4" w:space="0"/>
              <w:bottom w:val="single" w:color="000000" w:sz="4" w:space="0"/>
              <w:right w:val="single" w:color="000000" w:sz="12"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p>
        </w:tc>
      </w:tr>
      <w:tr>
        <w:tblPrEx>
          <w:tblCellMar>
            <w:top w:w="15" w:type="dxa"/>
            <w:left w:w="15" w:type="dxa"/>
            <w:bottom w:w="15" w:type="dxa"/>
            <w:right w:w="15" w:type="dxa"/>
          </w:tblCellMar>
        </w:tblPrEx>
        <w:trPr>
          <w:trHeight w:val="525" w:hRule="atLeast"/>
          <w:jc w:val="center"/>
        </w:trPr>
        <w:tc>
          <w:tcPr>
            <w:tcW w:w="900" w:type="dxa"/>
            <w:tcBorders>
              <w:left w:val="single" w:color="000000" w:sz="12"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5</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气水分离装置</w:t>
            </w:r>
          </w:p>
        </w:tc>
        <w:tc>
          <w:tcPr>
            <w:tcW w:w="1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Ф300×1000mm</w:t>
            </w:r>
          </w:p>
        </w:tc>
        <w:tc>
          <w:tcPr>
            <w:tcW w:w="93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套</w:t>
            </w:r>
          </w:p>
        </w:tc>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2</w:t>
            </w:r>
          </w:p>
        </w:tc>
        <w:tc>
          <w:tcPr>
            <w:tcW w:w="16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SUS304</w:t>
            </w:r>
          </w:p>
        </w:tc>
        <w:tc>
          <w:tcPr>
            <w:tcW w:w="1154" w:type="dxa"/>
            <w:tcBorders>
              <w:top w:val="single" w:color="000000" w:sz="4" w:space="0"/>
              <w:left w:val="single" w:color="000000" w:sz="4" w:space="0"/>
              <w:bottom w:val="single" w:color="000000" w:sz="4" w:space="0"/>
              <w:right w:val="single" w:color="000000" w:sz="12"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p>
        </w:tc>
      </w:tr>
      <w:tr>
        <w:tblPrEx>
          <w:tblCellMar>
            <w:top w:w="15" w:type="dxa"/>
            <w:left w:w="15" w:type="dxa"/>
            <w:bottom w:w="15" w:type="dxa"/>
            <w:right w:w="15" w:type="dxa"/>
          </w:tblCellMar>
        </w:tblPrEx>
        <w:trPr>
          <w:trHeight w:val="570" w:hRule="atLeast"/>
          <w:jc w:val="center"/>
        </w:trPr>
        <w:tc>
          <w:tcPr>
            <w:tcW w:w="900" w:type="dxa"/>
            <w:tcBorders>
              <w:left w:val="single" w:color="000000" w:sz="12"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6</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收水装置</w:t>
            </w:r>
          </w:p>
        </w:tc>
        <w:tc>
          <w:tcPr>
            <w:tcW w:w="1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Φ150×14000mm</w:t>
            </w:r>
          </w:p>
        </w:tc>
        <w:tc>
          <w:tcPr>
            <w:tcW w:w="93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套</w:t>
            </w:r>
          </w:p>
        </w:tc>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2</w:t>
            </w:r>
          </w:p>
        </w:tc>
        <w:tc>
          <w:tcPr>
            <w:tcW w:w="16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UPVC</w:t>
            </w:r>
          </w:p>
        </w:tc>
        <w:tc>
          <w:tcPr>
            <w:tcW w:w="1154" w:type="dxa"/>
            <w:tcBorders>
              <w:top w:val="single" w:color="000000" w:sz="4" w:space="0"/>
              <w:left w:val="single" w:color="000000" w:sz="4" w:space="0"/>
              <w:bottom w:val="single" w:color="000000" w:sz="4" w:space="0"/>
              <w:right w:val="single" w:color="000000" w:sz="12"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p>
        </w:tc>
      </w:tr>
      <w:tr>
        <w:tblPrEx>
          <w:tblCellMar>
            <w:top w:w="15" w:type="dxa"/>
            <w:left w:w="15" w:type="dxa"/>
            <w:bottom w:w="15" w:type="dxa"/>
            <w:right w:w="15" w:type="dxa"/>
          </w:tblCellMar>
        </w:tblPrEx>
        <w:trPr>
          <w:trHeight w:val="660" w:hRule="atLeast"/>
          <w:jc w:val="center"/>
        </w:trPr>
        <w:tc>
          <w:tcPr>
            <w:tcW w:w="900" w:type="dxa"/>
            <w:tcBorders>
              <w:left w:val="single" w:color="000000" w:sz="12"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7</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污泥收、排装置</w:t>
            </w:r>
          </w:p>
        </w:tc>
        <w:tc>
          <w:tcPr>
            <w:tcW w:w="1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与罐体配套</w:t>
            </w:r>
          </w:p>
        </w:tc>
        <w:tc>
          <w:tcPr>
            <w:tcW w:w="93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套</w:t>
            </w:r>
          </w:p>
        </w:tc>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2</w:t>
            </w:r>
          </w:p>
        </w:tc>
        <w:tc>
          <w:tcPr>
            <w:tcW w:w="16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UPVC</w:t>
            </w:r>
          </w:p>
        </w:tc>
        <w:tc>
          <w:tcPr>
            <w:tcW w:w="1154" w:type="dxa"/>
            <w:tcBorders>
              <w:top w:val="single" w:color="000000" w:sz="4" w:space="0"/>
              <w:left w:val="single" w:color="000000" w:sz="4" w:space="0"/>
              <w:bottom w:val="single" w:color="000000" w:sz="4" w:space="0"/>
              <w:right w:val="single" w:color="000000" w:sz="12"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p>
        </w:tc>
      </w:tr>
      <w:tr>
        <w:tblPrEx>
          <w:tblCellMar>
            <w:top w:w="15" w:type="dxa"/>
            <w:left w:w="15" w:type="dxa"/>
            <w:bottom w:w="15" w:type="dxa"/>
            <w:right w:w="15" w:type="dxa"/>
          </w:tblCellMar>
        </w:tblPrEx>
        <w:trPr>
          <w:trHeight w:val="720" w:hRule="atLeast"/>
          <w:jc w:val="center"/>
        </w:trPr>
        <w:tc>
          <w:tcPr>
            <w:tcW w:w="900" w:type="dxa"/>
            <w:tcBorders>
              <w:left w:val="single" w:color="000000" w:sz="12"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8</w:t>
            </w:r>
          </w:p>
        </w:tc>
        <w:tc>
          <w:tcPr>
            <w:tcW w:w="180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水封器</w:t>
            </w:r>
          </w:p>
        </w:tc>
        <w:tc>
          <w:tcPr>
            <w:tcW w:w="1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Ф620×1200mm（H)mm</w:t>
            </w:r>
          </w:p>
        </w:tc>
        <w:tc>
          <w:tcPr>
            <w:tcW w:w="93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台</w:t>
            </w:r>
          </w:p>
        </w:tc>
        <w:tc>
          <w:tcPr>
            <w:tcW w:w="76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1</w:t>
            </w:r>
          </w:p>
        </w:tc>
        <w:tc>
          <w:tcPr>
            <w:tcW w:w="16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SUS304</w:t>
            </w:r>
          </w:p>
        </w:tc>
        <w:tc>
          <w:tcPr>
            <w:tcW w:w="1154" w:type="dxa"/>
            <w:tcBorders>
              <w:top w:val="single" w:color="000000" w:sz="4" w:space="0"/>
              <w:left w:val="single" w:color="000000" w:sz="4" w:space="0"/>
              <w:bottom w:val="single" w:color="000000" w:sz="4" w:space="0"/>
              <w:right w:val="single" w:color="000000" w:sz="12" w:space="0"/>
            </w:tcBorders>
            <w:noWrap w:val="0"/>
            <w:vAlign w:val="center"/>
          </w:tcPr>
          <w:p>
            <w:pPr>
              <w:widowControl/>
              <w:spacing w:line="480" w:lineRule="exact"/>
              <w:jc w:val="center"/>
              <w:rPr>
                <w:rFonts w:hint="eastAsia" w:ascii="仿宋_GB2312" w:hAnsi="仿宋_GB2312" w:eastAsia="仿宋_GB2312" w:cs="仿宋_GB2312"/>
                <w:b w:val="0"/>
                <w:bCs/>
                <w:color w:val="auto"/>
                <w:sz w:val="28"/>
                <w:szCs w:val="28"/>
              </w:rPr>
            </w:pPr>
          </w:p>
        </w:tc>
      </w:tr>
    </w:tbl>
    <w:p>
      <w:pPr>
        <w:widowControl/>
        <w:spacing w:line="480" w:lineRule="exact"/>
        <w:ind w:firstLine="560" w:firstLineChars="200"/>
        <w:jc w:val="left"/>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注：界区内所有应配物品，技术协议与规格书未提到的，由厂家免费提供，未尽事宜，由乙方负责。</w:t>
      </w:r>
    </w:p>
    <w:p>
      <w:pPr>
        <w:widowControl/>
        <w:spacing w:line="480" w:lineRule="exact"/>
        <w:jc w:val="left"/>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lang w:val="en-US" w:eastAsia="zh-CN"/>
        </w:rPr>
        <w:t>3</w:t>
      </w:r>
      <w:r>
        <w:rPr>
          <w:rFonts w:hint="eastAsia" w:ascii="仿宋_GB2312" w:hAnsi="仿宋_GB2312" w:eastAsia="仿宋_GB2312" w:cs="仿宋_GB2312"/>
          <w:b w:val="0"/>
          <w:bCs/>
          <w:color w:val="auto"/>
          <w:sz w:val="28"/>
          <w:szCs w:val="28"/>
        </w:rPr>
        <w:t>、设计和现场条件</w:t>
      </w:r>
    </w:p>
    <w:p>
      <w:pPr>
        <w:widowControl/>
        <w:spacing w:line="480" w:lineRule="exact"/>
        <w:jc w:val="left"/>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lang w:val="en-US" w:eastAsia="zh-CN"/>
        </w:rPr>
        <w:t>3.</w:t>
      </w:r>
      <w:r>
        <w:rPr>
          <w:rFonts w:hint="eastAsia" w:ascii="仿宋_GB2312" w:hAnsi="仿宋_GB2312" w:eastAsia="仿宋_GB2312" w:cs="仿宋_GB2312"/>
          <w:b w:val="0"/>
          <w:bCs/>
          <w:color w:val="auto"/>
          <w:sz w:val="28"/>
          <w:szCs w:val="28"/>
        </w:rPr>
        <w:t>1、现场条件</w:t>
      </w:r>
    </w:p>
    <w:p>
      <w:pPr>
        <w:widowControl/>
        <w:spacing w:line="480" w:lineRule="exact"/>
        <w:jc w:val="left"/>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 xml:space="preserve"> </w:t>
      </w:r>
      <w:r>
        <w:rPr>
          <w:rFonts w:hint="eastAsia" w:ascii="仿宋_GB2312" w:hAnsi="仿宋_GB2312" w:eastAsia="仿宋_GB2312" w:cs="仿宋_GB2312"/>
          <w:b w:val="0"/>
          <w:bCs/>
          <w:color w:val="auto"/>
          <w:sz w:val="28"/>
          <w:szCs w:val="28"/>
          <w:lang w:val="en-US" w:eastAsia="zh-CN"/>
        </w:rPr>
        <w:t xml:space="preserve">   </w:t>
      </w:r>
      <w:r>
        <w:rPr>
          <w:rFonts w:hint="eastAsia" w:ascii="仿宋_GB2312" w:hAnsi="仿宋_GB2312" w:eastAsia="仿宋_GB2312" w:cs="仿宋_GB2312"/>
          <w:b w:val="0"/>
          <w:bCs/>
          <w:color w:val="auto"/>
          <w:sz w:val="28"/>
          <w:szCs w:val="28"/>
        </w:rPr>
        <w:t>安装场所：室外</w:t>
      </w:r>
    </w:p>
    <w:p>
      <w:pPr>
        <w:widowControl/>
        <w:spacing w:line="480" w:lineRule="exact"/>
        <w:jc w:val="left"/>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lang w:val="en-US" w:eastAsia="zh-CN"/>
        </w:rPr>
        <w:t>3.</w:t>
      </w:r>
      <w:r>
        <w:rPr>
          <w:rFonts w:hint="eastAsia" w:ascii="仿宋_GB2312" w:hAnsi="仿宋_GB2312" w:eastAsia="仿宋_GB2312" w:cs="仿宋_GB2312"/>
          <w:b w:val="0"/>
          <w:bCs/>
          <w:color w:val="auto"/>
          <w:sz w:val="28"/>
          <w:szCs w:val="28"/>
        </w:rPr>
        <w:t>2、设计条件：</w:t>
      </w:r>
    </w:p>
    <w:p>
      <w:pPr>
        <w:widowControl/>
        <w:spacing w:line="480" w:lineRule="exact"/>
        <w:jc w:val="left"/>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设备服务对象：为污水去除COD</w:t>
      </w:r>
    </w:p>
    <w:p>
      <w:pPr>
        <w:widowControl/>
        <w:spacing w:line="480" w:lineRule="exact"/>
        <w:jc w:val="left"/>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设计条件：此工程采用2座厌氧设备</w:t>
      </w:r>
    </w:p>
    <w:p>
      <w:pPr>
        <w:widowControl/>
        <w:spacing w:line="480" w:lineRule="exact"/>
        <w:jc w:val="left"/>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lang w:val="en-US" w:eastAsia="zh-CN"/>
        </w:rPr>
        <w:t>4</w:t>
      </w:r>
      <w:r>
        <w:rPr>
          <w:rFonts w:hint="eastAsia" w:ascii="仿宋_GB2312" w:hAnsi="仿宋_GB2312" w:eastAsia="仿宋_GB2312" w:cs="仿宋_GB2312"/>
          <w:b w:val="0"/>
          <w:bCs/>
          <w:color w:val="auto"/>
          <w:sz w:val="28"/>
          <w:szCs w:val="28"/>
        </w:rPr>
        <w:t>、工艺参数</w:t>
      </w:r>
    </w:p>
    <w:p>
      <w:pPr>
        <w:widowControl/>
        <w:spacing w:line="480" w:lineRule="exact"/>
        <w:jc w:val="left"/>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4.1、设计水量： 200m3/d</w:t>
      </w:r>
    </w:p>
    <w:p>
      <w:pPr>
        <w:widowControl/>
        <w:spacing w:line="480" w:lineRule="exact"/>
        <w:jc w:val="left"/>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4.2、名称、规格及数量</w:t>
      </w:r>
    </w:p>
    <w:p>
      <w:pPr>
        <w:widowControl/>
        <w:spacing w:line="480" w:lineRule="exact"/>
        <w:jc w:val="left"/>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名    称：  厌氧反应器</w:t>
      </w:r>
    </w:p>
    <w:p>
      <w:pPr>
        <w:widowControl/>
        <w:spacing w:line="480" w:lineRule="exact"/>
        <w:jc w:val="left"/>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数    量：  1座</w:t>
      </w:r>
    </w:p>
    <w:p>
      <w:pPr>
        <w:widowControl/>
        <w:spacing w:line="480" w:lineRule="exact"/>
        <w:jc w:val="left"/>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 xml:space="preserve">处理规模： </w:t>
      </w:r>
      <w:r>
        <w:rPr>
          <w:rFonts w:hint="eastAsia" w:ascii="仿宋_GB2312" w:hAnsi="仿宋_GB2312" w:eastAsia="仿宋_GB2312" w:cs="仿宋_GB2312"/>
          <w:b w:val="0"/>
          <w:bCs/>
          <w:color w:val="auto"/>
          <w:sz w:val="28"/>
          <w:szCs w:val="28"/>
          <w:lang w:val="en-US" w:eastAsia="zh-CN"/>
        </w:rPr>
        <w:t xml:space="preserve"> 8.3</w:t>
      </w:r>
      <w:r>
        <w:rPr>
          <w:rFonts w:hint="eastAsia" w:ascii="仿宋_GB2312" w:hAnsi="仿宋_GB2312" w:eastAsia="仿宋_GB2312" w:cs="仿宋_GB2312"/>
          <w:b w:val="0"/>
          <w:bCs/>
          <w:color w:val="auto"/>
          <w:sz w:val="28"/>
          <w:szCs w:val="28"/>
        </w:rPr>
        <w:t>m3/h</w:t>
      </w:r>
    </w:p>
    <w:p>
      <w:pPr>
        <w:widowControl/>
        <w:spacing w:line="480" w:lineRule="exact"/>
        <w:jc w:val="left"/>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lang w:val="en-US" w:eastAsia="zh-CN"/>
        </w:rPr>
        <w:t>5</w:t>
      </w:r>
      <w:r>
        <w:rPr>
          <w:rFonts w:hint="eastAsia" w:ascii="仿宋_GB2312" w:hAnsi="仿宋_GB2312" w:eastAsia="仿宋_GB2312" w:cs="仿宋_GB2312"/>
          <w:b w:val="0"/>
          <w:bCs/>
          <w:color w:val="auto"/>
          <w:sz w:val="28"/>
          <w:szCs w:val="28"/>
        </w:rPr>
        <w:t>、厌氧设备技术要求</w:t>
      </w:r>
    </w:p>
    <w:p>
      <w:pPr>
        <w:widowControl/>
        <w:spacing w:line="480" w:lineRule="exact"/>
        <w:jc w:val="left"/>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1）技术选择的原则</w:t>
      </w:r>
    </w:p>
    <w:p>
      <w:pPr>
        <w:widowControl/>
        <w:spacing w:line="480" w:lineRule="exact"/>
        <w:jc w:val="left"/>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 xml:space="preserve">    厌氧设备工艺技术、所选用的设备和设计参数必须是可靠先进的，卖方应具有丰富的设计、制造、成套和生产运行的经验。所提供的整套工艺必须是运行可靠、技术成熟、操作方便、能耗低、安全性好、控制容易、连续运转周期不少于二年的产品。满足厌氧内部设施使用寿命</w:t>
      </w:r>
      <w:r>
        <w:rPr>
          <w:rFonts w:hint="eastAsia" w:ascii="仿宋_GB2312" w:hAnsi="仿宋_GB2312" w:eastAsia="仿宋_GB2312" w:cs="仿宋_GB2312"/>
          <w:b w:val="0"/>
          <w:bCs/>
          <w:color w:val="auto"/>
          <w:sz w:val="28"/>
          <w:szCs w:val="28"/>
          <w:lang w:val="en-US" w:eastAsia="zh-CN"/>
        </w:rPr>
        <w:t>3</w:t>
      </w:r>
      <w:r>
        <w:rPr>
          <w:rFonts w:hint="eastAsia" w:ascii="仿宋_GB2312" w:hAnsi="仿宋_GB2312" w:eastAsia="仿宋_GB2312" w:cs="仿宋_GB2312"/>
          <w:b w:val="0"/>
          <w:bCs/>
          <w:color w:val="auto"/>
          <w:sz w:val="28"/>
          <w:szCs w:val="28"/>
        </w:rPr>
        <w:t>年</w:t>
      </w:r>
    </w:p>
    <w:p>
      <w:pPr>
        <w:widowControl/>
        <w:spacing w:line="480" w:lineRule="exact"/>
        <w:jc w:val="left"/>
        <w:rPr>
          <w:rFonts w:hint="eastAsia" w:ascii="仿宋_GB2312" w:hAnsi="仿宋_GB2312" w:eastAsia="仿宋_GB2312" w:cs="仿宋_GB2312"/>
          <w:b w:val="0"/>
          <w:bCs/>
          <w:color w:val="auto"/>
          <w:sz w:val="28"/>
          <w:szCs w:val="28"/>
          <w:lang w:eastAsia="zh-CN"/>
        </w:rPr>
      </w:pPr>
      <w:r>
        <w:rPr>
          <w:rFonts w:hint="eastAsia" w:ascii="仿宋_GB2312" w:hAnsi="仿宋_GB2312" w:eastAsia="仿宋_GB2312" w:cs="仿宋_GB2312"/>
          <w:b w:val="0"/>
          <w:bCs/>
          <w:color w:val="auto"/>
          <w:sz w:val="28"/>
          <w:szCs w:val="28"/>
          <w:lang w:val="en-US" w:eastAsia="zh-CN"/>
        </w:rPr>
        <w:t>2</w:t>
      </w:r>
      <w:r>
        <w:rPr>
          <w:rFonts w:hint="eastAsia" w:ascii="仿宋_GB2312" w:hAnsi="仿宋_GB2312" w:eastAsia="仿宋_GB2312" w:cs="仿宋_GB2312"/>
          <w:b w:val="0"/>
          <w:bCs/>
          <w:color w:val="auto"/>
          <w:sz w:val="28"/>
          <w:szCs w:val="28"/>
        </w:rPr>
        <w:t>）工程质量</w:t>
      </w:r>
    </w:p>
    <w:p>
      <w:pPr>
        <w:widowControl/>
        <w:spacing w:line="480" w:lineRule="exact"/>
        <w:ind w:firstLine="560" w:firstLineChars="200"/>
        <w:jc w:val="left"/>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所有设备制作，焊接质量应符合甲方</w:t>
      </w:r>
      <w:r>
        <w:rPr>
          <w:rFonts w:hint="eastAsia" w:ascii="仿宋_GB2312" w:hAnsi="仿宋_GB2312" w:eastAsia="仿宋_GB2312" w:cs="仿宋_GB2312"/>
          <w:b w:val="0"/>
          <w:bCs/>
          <w:color w:val="auto"/>
          <w:sz w:val="28"/>
          <w:szCs w:val="28"/>
          <w:lang w:val="en-US" w:eastAsia="zh-CN"/>
        </w:rPr>
        <w:t>要求</w:t>
      </w:r>
      <w:r>
        <w:rPr>
          <w:rFonts w:hint="eastAsia" w:ascii="仿宋_GB2312" w:hAnsi="仿宋_GB2312" w:eastAsia="仿宋_GB2312" w:cs="仿宋_GB2312"/>
          <w:b w:val="0"/>
          <w:bCs/>
          <w:color w:val="auto"/>
          <w:sz w:val="28"/>
          <w:szCs w:val="28"/>
        </w:rPr>
        <w:t>、《现场设备、工艺管道焊接工程施工及验收规范》GB50236-98</w:t>
      </w:r>
      <w:r>
        <w:rPr>
          <w:rFonts w:hint="eastAsia" w:ascii="仿宋_GB2312" w:hAnsi="仿宋_GB2312" w:eastAsia="仿宋_GB2312" w:cs="仿宋_GB2312"/>
          <w:b w:val="0"/>
          <w:bCs/>
          <w:color w:val="auto"/>
          <w:sz w:val="28"/>
          <w:szCs w:val="28"/>
          <w:lang w:eastAsia="zh-CN"/>
        </w:rPr>
        <w:t>、</w:t>
      </w:r>
      <w:r>
        <w:rPr>
          <w:rFonts w:hint="eastAsia" w:ascii="仿宋_GB2312" w:hAnsi="仿宋_GB2312" w:eastAsia="仿宋_GB2312" w:cs="仿宋_GB2312"/>
          <w:b w:val="0"/>
          <w:bCs/>
          <w:color w:val="auto"/>
          <w:sz w:val="28"/>
          <w:szCs w:val="28"/>
        </w:rPr>
        <w:t>《立式圆筒形钢制储罐施工及验收规范》GB50129-2005、及国家相关规范要求。</w:t>
      </w:r>
    </w:p>
    <w:p>
      <w:pPr>
        <w:widowControl/>
        <w:spacing w:line="480" w:lineRule="exact"/>
        <w:jc w:val="left"/>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3）设计基本要求</w:t>
      </w:r>
    </w:p>
    <w:p>
      <w:pPr>
        <w:widowControl/>
        <w:spacing w:line="480" w:lineRule="exact"/>
        <w:jc w:val="left"/>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 xml:space="preserve">  （1）整套工艺要求运行可靠、操作方便、节省占地、布置经济合理、安全低耗。</w:t>
      </w:r>
    </w:p>
    <w:p>
      <w:pPr>
        <w:widowControl/>
        <w:spacing w:line="480" w:lineRule="exact"/>
        <w:ind w:firstLine="280" w:firstLineChars="100"/>
        <w:jc w:val="left"/>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（2）具有较高的容积负荷。</w:t>
      </w:r>
    </w:p>
    <w:p>
      <w:pPr>
        <w:widowControl/>
        <w:spacing w:line="480" w:lineRule="exact"/>
        <w:ind w:firstLine="280" w:firstLineChars="100"/>
        <w:jc w:val="left"/>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（3）应具备适应水质波动能力，可以在要求的生产能力负荷下经济、安全地运行，而无需增加任何设施。</w:t>
      </w:r>
    </w:p>
    <w:p>
      <w:pPr>
        <w:widowControl/>
        <w:spacing w:line="480" w:lineRule="exact"/>
        <w:ind w:firstLine="280" w:firstLineChars="100"/>
        <w:jc w:val="left"/>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（4）布置原则</w:t>
      </w:r>
    </w:p>
    <w:p>
      <w:pPr>
        <w:widowControl/>
        <w:spacing w:line="480" w:lineRule="exact"/>
        <w:ind w:firstLine="560" w:firstLineChars="200"/>
        <w:jc w:val="left"/>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设备布置的一般设计原则是能保证厌氧池所配套的设备便于操作、安装、维修等。同时还应满足和符合国家和地方消防法规、防爆及安全和卫生标准。</w:t>
      </w:r>
    </w:p>
    <w:p>
      <w:pPr>
        <w:widowControl/>
        <w:spacing w:line="480" w:lineRule="exact"/>
        <w:ind w:firstLine="280" w:firstLineChars="100"/>
        <w:jc w:val="left"/>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（5）配管要求</w:t>
      </w:r>
    </w:p>
    <w:p>
      <w:pPr>
        <w:widowControl/>
        <w:spacing w:line="480" w:lineRule="exact"/>
        <w:ind w:firstLine="560" w:firstLineChars="200"/>
        <w:jc w:val="left"/>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采用有效措施或技术，以保证配管能适合于池。对配管系统的安全性以及管道元件的使用寿命要有明确的阐述。</w:t>
      </w:r>
    </w:p>
    <w:p>
      <w:pPr>
        <w:widowControl/>
        <w:spacing w:line="480" w:lineRule="exact"/>
        <w:ind w:firstLine="280" w:firstLineChars="100"/>
        <w:jc w:val="left"/>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lang w:eastAsia="zh-CN"/>
        </w:rPr>
        <w:t>（</w:t>
      </w:r>
      <w:r>
        <w:rPr>
          <w:rFonts w:hint="eastAsia" w:ascii="仿宋_GB2312" w:hAnsi="仿宋_GB2312" w:eastAsia="仿宋_GB2312" w:cs="仿宋_GB2312"/>
          <w:b w:val="0"/>
          <w:bCs/>
          <w:color w:val="auto"/>
          <w:sz w:val="28"/>
          <w:szCs w:val="28"/>
          <w:lang w:val="en-US" w:eastAsia="zh-CN"/>
        </w:rPr>
        <w:t>6</w:t>
      </w:r>
      <w:r>
        <w:rPr>
          <w:rFonts w:hint="eastAsia" w:ascii="仿宋_GB2312" w:hAnsi="仿宋_GB2312" w:eastAsia="仿宋_GB2312" w:cs="仿宋_GB2312"/>
          <w:b w:val="0"/>
          <w:bCs/>
          <w:color w:val="auto"/>
          <w:sz w:val="28"/>
          <w:szCs w:val="28"/>
          <w:lang w:eastAsia="zh-CN"/>
        </w:rPr>
        <w:t>）</w:t>
      </w:r>
      <w:r>
        <w:rPr>
          <w:rFonts w:hint="eastAsia" w:ascii="仿宋_GB2312" w:hAnsi="仿宋_GB2312" w:eastAsia="仿宋_GB2312" w:cs="仿宋_GB2312"/>
          <w:b w:val="0"/>
          <w:bCs/>
          <w:color w:val="auto"/>
          <w:sz w:val="28"/>
          <w:szCs w:val="28"/>
        </w:rPr>
        <w:t>设备和机械设计要求</w:t>
      </w:r>
    </w:p>
    <w:p>
      <w:pPr>
        <w:widowControl/>
        <w:spacing w:line="480" w:lineRule="exact"/>
        <w:ind w:firstLine="560" w:firstLineChars="200"/>
        <w:jc w:val="left"/>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国内设计制造的设备和机械应符合相应的国家标准和/或行业标准的规定。特殊设备和机械应符合专业制造厂商的标准规范。</w:t>
      </w:r>
    </w:p>
    <w:p>
      <w:pPr>
        <w:widowControl/>
        <w:spacing w:line="480" w:lineRule="exact"/>
        <w:ind w:firstLine="280" w:firstLineChars="100"/>
        <w:jc w:val="left"/>
        <w:rPr>
          <w:rFonts w:hint="eastAsia" w:ascii="仿宋_GB2312" w:hAnsi="仿宋_GB2312" w:eastAsia="仿宋_GB2312" w:cs="仿宋_GB2312"/>
          <w:b w:val="0"/>
          <w:bCs/>
          <w:color w:val="auto"/>
          <w:sz w:val="28"/>
          <w:szCs w:val="28"/>
        </w:rPr>
      </w:pPr>
      <w:r>
        <w:rPr>
          <w:rFonts w:hint="eastAsia" w:ascii="仿宋_GB2312" w:hAnsi="仿宋_GB2312" w:eastAsia="仿宋_GB2312" w:cs="仿宋_GB2312"/>
          <w:b w:val="0"/>
          <w:bCs/>
          <w:color w:val="auto"/>
          <w:sz w:val="28"/>
          <w:szCs w:val="28"/>
        </w:rPr>
        <w:t>（</w:t>
      </w:r>
      <w:r>
        <w:rPr>
          <w:rFonts w:hint="eastAsia" w:ascii="仿宋_GB2312" w:hAnsi="仿宋_GB2312" w:eastAsia="仿宋_GB2312" w:cs="仿宋_GB2312"/>
          <w:b w:val="0"/>
          <w:bCs/>
          <w:color w:val="auto"/>
          <w:sz w:val="28"/>
          <w:szCs w:val="28"/>
          <w:lang w:val="en-US" w:eastAsia="zh-CN"/>
        </w:rPr>
        <w:t>7</w:t>
      </w:r>
      <w:r>
        <w:rPr>
          <w:rFonts w:hint="eastAsia" w:ascii="仿宋_GB2312" w:hAnsi="仿宋_GB2312" w:eastAsia="仿宋_GB2312" w:cs="仿宋_GB2312"/>
          <w:b w:val="0"/>
          <w:bCs/>
          <w:color w:val="auto"/>
          <w:sz w:val="28"/>
          <w:szCs w:val="28"/>
        </w:rPr>
        <w:t>）应按技术规范所规定的范围进行设备供货、检验、运输，并提供安装指导、调试、人员培训、试运行、性能考核、运行期间的售后服务等技术服务，以及所有其它为完善安装运行所必要的项目，所有这些不管是否在本规定或设备清单上明确过，投标价格应看作为已包括所有这些项目。对所供设备是否满足工艺操作要求以及产品质量承担全部责任。</w:t>
      </w:r>
    </w:p>
    <w:p>
      <w:pPr>
        <w:widowControl/>
        <w:spacing w:line="480" w:lineRule="exact"/>
        <w:jc w:val="left"/>
        <w:rPr>
          <w:rFonts w:hint="eastAsia" w:ascii="仿宋_GB2312" w:hAnsi="Arial" w:eastAsia="仿宋_GB2312"/>
          <w:b w:val="0"/>
          <w:bCs/>
          <w:color w:val="auto"/>
          <w:sz w:val="28"/>
          <w:szCs w:val="28"/>
        </w:rPr>
      </w:pPr>
    </w:p>
    <w:p>
      <w:pPr>
        <w:pStyle w:val="16"/>
        <w:rPr>
          <w:rFonts w:hint="eastAsia" w:ascii="仿宋_GB2312" w:hAnsi="Arial" w:eastAsia="仿宋_GB2312"/>
          <w:b/>
          <w:color w:val="auto"/>
          <w:sz w:val="28"/>
          <w:szCs w:val="28"/>
        </w:rPr>
      </w:pPr>
    </w:p>
    <w:p>
      <w:pPr>
        <w:pStyle w:val="16"/>
        <w:rPr>
          <w:rFonts w:hint="eastAsia" w:ascii="仿宋_GB2312" w:hAnsi="Arial" w:eastAsia="仿宋_GB2312"/>
          <w:b/>
          <w:color w:val="auto"/>
          <w:sz w:val="28"/>
          <w:szCs w:val="28"/>
        </w:rPr>
      </w:pPr>
    </w:p>
    <w:p>
      <w:pPr>
        <w:pStyle w:val="16"/>
        <w:rPr>
          <w:rFonts w:hint="eastAsia" w:ascii="仿宋_GB2312" w:hAnsi="Arial" w:eastAsia="仿宋_GB2312"/>
          <w:b/>
          <w:color w:val="auto"/>
          <w:sz w:val="28"/>
          <w:szCs w:val="28"/>
        </w:rPr>
      </w:pPr>
    </w:p>
    <w:p>
      <w:pPr>
        <w:pStyle w:val="16"/>
        <w:rPr>
          <w:rFonts w:hint="eastAsia" w:ascii="仿宋_GB2312" w:hAnsi="Arial" w:eastAsia="仿宋_GB2312"/>
          <w:b/>
          <w:color w:val="auto"/>
          <w:sz w:val="28"/>
          <w:szCs w:val="28"/>
        </w:rPr>
      </w:pPr>
    </w:p>
    <w:p>
      <w:pPr>
        <w:pStyle w:val="16"/>
        <w:rPr>
          <w:rFonts w:hint="eastAsia" w:ascii="仿宋_GB2312" w:hAnsi="Arial" w:eastAsia="仿宋_GB2312"/>
          <w:b/>
          <w:color w:val="auto"/>
          <w:sz w:val="28"/>
          <w:szCs w:val="28"/>
        </w:rPr>
      </w:pPr>
    </w:p>
    <w:p>
      <w:pPr>
        <w:pStyle w:val="16"/>
        <w:rPr>
          <w:rFonts w:hint="eastAsia" w:ascii="仿宋_GB2312" w:hAnsi="Arial" w:eastAsia="仿宋_GB2312"/>
          <w:b/>
          <w:color w:val="auto"/>
          <w:sz w:val="28"/>
          <w:szCs w:val="28"/>
        </w:rPr>
      </w:pPr>
    </w:p>
    <w:p>
      <w:pPr>
        <w:pStyle w:val="16"/>
        <w:rPr>
          <w:rFonts w:hint="eastAsia" w:ascii="仿宋_GB2312" w:hAnsi="Arial" w:eastAsia="仿宋_GB2312"/>
          <w:b/>
          <w:color w:val="auto"/>
          <w:sz w:val="28"/>
          <w:szCs w:val="28"/>
        </w:rPr>
      </w:pPr>
    </w:p>
    <w:p>
      <w:pPr>
        <w:pStyle w:val="16"/>
        <w:rPr>
          <w:rFonts w:hint="eastAsia" w:ascii="仿宋_GB2312" w:hAnsi="Arial" w:eastAsia="仿宋_GB2312"/>
          <w:b/>
          <w:color w:val="auto"/>
          <w:sz w:val="28"/>
          <w:szCs w:val="28"/>
        </w:rPr>
      </w:pPr>
    </w:p>
    <w:p>
      <w:pPr>
        <w:pStyle w:val="16"/>
        <w:rPr>
          <w:rFonts w:hint="eastAsia" w:ascii="仿宋_GB2312" w:hAnsi="Arial" w:eastAsia="仿宋_GB2312"/>
          <w:b/>
          <w:color w:val="auto"/>
          <w:sz w:val="28"/>
          <w:szCs w:val="28"/>
        </w:rPr>
      </w:pPr>
    </w:p>
    <w:p>
      <w:pPr>
        <w:widowControl/>
        <w:spacing w:line="480" w:lineRule="exact"/>
        <w:jc w:val="left"/>
        <w:rPr>
          <w:rFonts w:hint="eastAsia" w:ascii="仿宋_GB2312" w:hAnsi="Arial" w:eastAsia="仿宋_GB2312"/>
          <w:b/>
          <w:color w:val="auto"/>
          <w:sz w:val="28"/>
          <w:szCs w:val="28"/>
        </w:rPr>
      </w:pPr>
    </w:p>
    <w:p>
      <w:pPr>
        <w:widowControl/>
        <w:spacing w:line="480" w:lineRule="exact"/>
        <w:jc w:val="left"/>
        <w:rPr>
          <w:rFonts w:hint="eastAsia" w:ascii="仿宋_GB2312" w:hAnsi="Arial" w:eastAsia="仿宋_GB2312"/>
          <w:b/>
          <w:color w:val="auto"/>
          <w:sz w:val="28"/>
          <w:szCs w:val="28"/>
        </w:rPr>
      </w:pPr>
      <w:r>
        <w:rPr>
          <w:rFonts w:hint="eastAsia" w:ascii="仿宋_GB2312" w:hAnsi="Arial" w:eastAsia="仿宋_GB2312"/>
          <w:b/>
          <w:color w:val="auto"/>
          <w:sz w:val="28"/>
          <w:szCs w:val="28"/>
        </w:rPr>
        <w:t>附件5：</w:t>
      </w:r>
    </w:p>
    <w:p>
      <w:pPr>
        <w:jc w:val="center"/>
        <w:rPr>
          <w:rFonts w:hint="eastAsia" w:ascii="方正小标宋简体" w:eastAsia="方正小标宋简体"/>
          <w:b/>
          <w:bCs/>
          <w:color w:val="auto"/>
          <w:sz w:val="44"/>
          <w:szCs w:val="44"/>
        </w:rPr>
      </w:pPr>
      <w:r>
        <w:rPr>
          <w:rFonts w:hint="eastAsia" w:ascii="方正小标宋简体" w:eastAsia="方正小标宋简体"/>
          <w:b/>
          <w:bCs/>
          <w:color w:val="auto"/>
          <w:sz w:val="44"/>
          <w:szCs w:val="44"/>
        </w:rPr>
        <w:t>诚信投标承诺书</w:t>
      </w:r>
    </w:p>
    <w:p>
      <w:pPr>
        <w:rPr>
          <w:rFonts w:hint="eastAsia" w:ascii="仿宋" w:hAnsi="仿宋" w:eastAsia="仿宋" w:cs="仿宋"/>
          <w:color w:val="auto"/>
          <w:sz w:val="30"/>
          <w:szCs w:val="30"/>
        </w:rPr>
      </w:pPr>
    </w:p>
    <w:p>
      <w:pPr>
        <w:spacing w:line="520" w:lineRule="exact"/>
        <w:rPr>
          <w:rFonts w:hint="eastAsia" w:ascii="仿宋_GB2312" w:hAnsi="仿宋" w:eastAsia="仿宋_GB2312" w:cs="仿宋"/>
          <w:color w:val="auto"/>
          <w:sz w:val="30"/>
          <w:szCs w:val="30"/>
        </w:rPr>
      </w:pPr>
      <w:r>
        <w:rPr>
          <w:rFonts w:hint="eastAsia" w:ascii="仿宋_GB2312" w:hAnsi="宋体" w:eastAsia="仿宋_GB2312"/>
          <w:color w:val="auto"/>
          <w:sz w:val="28"/>
          <w:lang w:val="en-US" w:eastAsia="zh-CN"/>
        </w:rPr>
        <w:t>长治首钢生物质能源有限公司</w:t>
      </w:r>
      <w:r>
        <w:rPr>
          <w:rFonts w:hint="eastAsia" w:ascii="仿宋_GB2312" w:hAnsi="仿宋" w:eastAsia="仿宋_GB2312" w:cs="仿宋"/>
          <w:color w:val="auto"/>
          <w:sz w:val="30"/>
          <w:szCs w:val="30"/>
        </w:rPr>
        <w:t>：</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非常高兴参加贵公司组织的</w:t>
      </w:r>
      <w:r>
        <w:rPr>
          <w:rFonts w:hint="eastAsia" w:ascii="仿宋_GB2312" w:hAnsi="仿宋" w:eastAsia="仿宋_GB2312" w:cs="仿宋"/>
          <w:color w:val="auto"/>
          <w:sz w:val="30"/>
          <w:szCs w:val="30"/>
          <w:u w:val="single"/>
          <w:lang w:val="en-US" w:eastAsia="zh-CN"/>
        </w:rPr>
        <w:t xml:space="preserve">        </w:t>
      </w:r>
      <w:r>
        <w:rPr>
          <w:rFonts w:hint="eastAsia" w:ascii="仿宋_GB2312" w:hAnsi="仿宋" w:eastAsia="仿宋_GB2312" w:cs="仿宋"/>
          <w:color w:val="auto"/>
          <w:sz w:val="30"/>
          <w:szCs w:val="30"/>
          <w:u w:val="single"/>
        </w:rPr>
        <w:t>（</w:t>
      </w:r>
      <w:r>
        <w:rPr>
          <w:rFonts w:hint="eastAsia" w:ascii="仿宋_GB2312" w:hAnsi="仿宋" w:eastAsia="仿宋_GB2312" w:cs="仿宋"/>
          <w:color w:val="auto"/>
          <w:sz w:val="30"/>
          <w:szCs w:val="30"/>
        </w:rPr>
        <w:t>招标编号：</w:t>
      </w:r>
      <w:r>
        <w:rPr>
          <w:rFonts w:hint="eastAsia" w:ascii="仿宋_GB2312" w:hAnsi="仿宋" w:eastAsia="仿宋_GB2312" w:cs="仿宋"/>
          <w:color w:val="auto"/>
          <w:sz w:val="30"/>
          <w:szCs w:val="30"/>
          <w:lang w:val="en-US" w:eastAsia="zh-CN"/>
        </w:rPr>
        <w:t xml:space="preserve">     </w:t>
      </w:r>
      <w:r>
        <w:rPr>
          <w:rFonts w:hint="eastAsia" w:ascii="仿宋_GB2312" w:hAnsi="仿宋" w:eastAsia="仿宋_GB2312" w:cs="仿宋"/>
          <w:color w:val="auto"/>
          <w:sz w:val="30"/>
          <w:szCs w:val="30"/>
        </w:rPr>
        <w:t>）招投标项目。</w:t>
      </w:r>
    </w:p>
    <w:p>
      <w:pPr>
        <w:spacing w:line="520" w:lineRule="exact"/>
        <w:ind w:left="1320" w:leftChars="200" w:hanging="900" w:hangingChars="300"/>
        <w:jc w:val="left"/>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我公司以下列第</w:t>
      </w:r>
      <w:r>
        <w:rPr>
          <w:rFonts w:hint="eastAsia" w:ascii="仿宋_GB2312" w:hAnsi="仿宋" w:eastAsia="仿宋_GB2312" w:cs="仿宋"/>
          <w:color w:val="auto"/>
          <w:sz w:val="30"/>
          <w:szCs w:val="30"/>
          <w:u w:val="single"/>
        </w:rPr>
        <w:t xml:space="preserve"> </w:t>
      </w:r>
      <w:r>
        <w:rPr>
          <w:rFonts w:hint="eastAsia" w:ascii="仿宋_GB2312" w:hAnsi="仿宋" w:eastAsia="仿宋_GB2312" w:cs="仿宋"/>
          <w:color w:val="auto"/>
          <w:sz w:val="30"/>
          <w:szCs w:val="30"/>
          <w:u w:val="single"/>
          <w:lang w:val="en-US" w:eastAsia="zh-CN"/>
        </w:rPr>
        <w:t>1</w:t>
      </w:r>
      <w:r>
        <w:rPr>
          <w:rFonts w:hint="eastAsia" w:ascii="仿宋_GB2312" w:hAnsi="仿宋" w:eastAsia="仿宋_GB2312" w:cs="仿宋"/>
          <w:color w:val="auto"/>
          <w:sz w:val="30"/>
          <w:szCs w:val="30"/>
          <w:u w:val="single"/>
        </w:rPr>
        <w:t xml:space="preserve">  </w:t>
      </w:r>
      <w:r>
        <w:rPr>
          <w:rFonts w:hint="eastAsia" w:ascii="仿宋_GB2312" w:hAnsi="仿宋" w:eastAsia="仿宋_GB2312" w:cs="仿宋"/>
          <w:color w:val="auto"/>
          <w:sz w:val="30"/>
          <w:szCs w:val="30"/>
        </w:rPr>
        <w:t>种方式向贵公司交纳投标保证金</w:t>
      </w:r>
      <w:r>
        <w:rPr>
          <w:rFonts w:hint="eastAsia" w:ascii="仿宋_GB2312" w:hAnsi="仿宋" w:eastAsia="仿宋_GB2312" w:cs="仿宋"/>
          <w:color w:val="auto"/>
          <w:sz w:val="30"/>
          <w:szCs w:val="30"/>
          <w:u w:val="single"/>
          <w:lang w:val="en-US" w:eastAsia="zh-CN"/>
        </w:rPr>
        <w:t>1</w:t>
      </w:r>
      <w:r>
        <w:rPr>
          <w:rFonts w:hint="eastAsia" w:ascii="仿宋_GB2312" w:hAnsi="仿宋" w:eastAsia="仿宋_GB2312" w:cs="仿宋"/>
          <w:color w:val="auto"/>
          <w:sz w:val="30"/>
          <w:szCs w:val="30"/>
          <w:u w:val="single"/>
        </w:rPr>
        <w:t>0000</w:t>
      </w:r>
      <w:r>
        <w:rPr>
          <w:rFonts w:hint="eastAsia" w:ascii="仿宋_GB2312" w:hAnsi="仿宋" w:eastAsia="仿宋_GB2312" w:cs="仿宋"/>
          <w:color w:val="auto"/>
          <w:sz w:val="30"/>
          <w:szCs w:val="30"/>
        </w:rPr>
        <w:t>元。</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1、投标现场交纳</w:t>
      </w:r>
      <w:r>
        <w:rPr>
          <w:rFonts w:hint="eastAsia" w:ascii="仿宋_GB2312" w:hAnsi="仿宋" w:eastAsia="仿宋_GB2312" w:cs="仿宋"/>
          <w:color w:val="auto"/>
          <w:sz w:val="30"/>
          <w:szCs w:val="30"/>
          <w:lang w:eastAsia="zh-CN"/>
        </w:rPr>
        <w:t>，</w:t>
      </w:r>
      <w:r>
        <w:rPr>
          <w:rFonts w:hint="eastAsia" w:ascii="仿宋_GB2312" w:hAnsi="仿宋" w:eastAsia="仿宋_GB2312" w:cs="仿宋"/>
          <w:color w:val="auto"/>
          <w:sz w:val="30"/>
          <w:szCs w:val="30"/>
          <w:lang w:val="en-US" w:eastAsia="zh-CN"/>
        </w:rPr>
        <w:t>中标后转至招标方指定账户</w:t>
      </w:r>
      <w:r>
        <w:rPr>
          <w:rFonts w:hint="eastAsia" w:ascii="仿宋_GB2312" w:hAnsi="仿宋" w:eastAsia="仿宋_GB2312" w:cs="仿宋"/>
          <w:color w:val="auto"/>
          <w:sz w:val="30"/>
          <w:szCs w:val="30"/>
        </w:rPr>
        <w:t>。</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同时我们承诺，我公司投标资料如有造假或我公司陈述如有不实，我公司自愿将已交纳的投标保证金由贵公司全额予以没收，我公司放弃就此提出任何权利主张。</w:t>
      </w:r>
    </w:p>
    <w:p>
      <w:pPr>
        <w:rPr>
          <w:rFonts w:hint="eastAsia" w:ascii="仿宋_GB2312" w:hAnsi="仿宋" w:eastAsia="仿宋_GB2312" w:cs="仿宋"/>
          <w:color w:val="auto"/>
          <w:sz w:val="30"/>
          <w:szCs w:val="30"/>
        </w:rPr>
      </w:pPr>
    </w:p>
    <w:p>
      <w:pPr>
        <w:ind w:firstLine="4200" w:firstLineChars="1400"/>
        <w:rPr>
          <w:rFonts w:hint="eastAsia" w:ascii="仿宋_GB2312" w:hAnsi="仿宋" w:eastAsia="仿宋_GB2312" w:cs="仿宋"/>
          <w:color w:val="auto"/>
          <w:sz w:val="30"/>
          <w:szCs w:val="30"/>
          <w:u w:val="single"/>
        </w:rPr>
      </w:pPr>
      <w:r>
        <w:rPr>
          <w:rFonts w:hint="eastAsia" w:ascii="仿宋_GB2312" w:hAnsi="仿宋" w:eastAsia="仿宋_GB2312" w:cs="仿宋"/>
          <w:color w:val="auto"/>
          <w:sz w:val="30"/>
          <w:szCs w:val="30"/>
        </w:rPr>
        <w:t>投标人：</w:t>
      </w:r>
      <w:r>
        <w:rPr>
          <w:rFonts w:hint="eastAsia" w:ascii="仿宋_GB2312" w:hAnsi="仿宋" w:eastAsia="仿宋_GB2312" w:cs="仿宋"/>
          <w:color w:val="auto"/>
          <w:sz w:val="30"/>
          <w:szCs w:val="30"/>
          <w:u w:val="single"/>
        </w:rPr>
        <w:t xml:space="preserve"> XXX   </w:t>
      </w:r>
    </w:p>
    <w:p>
      <w:pPr>
        <w:ind w:firstLine="7200" w:firstLineChars="2400"/>
        <w:rPr>
          <w:rFonts w:hint="eastAsia" w:ascii="仿宋_GB2312" w:hAnsi="仿宋" w:eastAsia="仿宋_GB2312" w:cs="仿宋"/>
          <w:color w:val="auto"/>
          <w:sz w:val="30"/>
          <w:szCs w:val="30"/>
        </w:rPr>
      </w:pPr>
    </w:p>
    <w:p>
      <w:pPr>
        <w:ind w:firstLine="4200" w:firstLineChars="14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法定代表人签字并盖章：</w:t>
      </w:r>
    </w:p>
    <w:p>
      <w:pPr>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 xml:space="preserve">                                                   </w:t>
      </w:r>
    </w:p>
    <w:p>
      <w:pPr>
        <w:ind w:firstLine="5700" w:firstLineChars="19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年    月    日</w:t>
      </w: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lang w:val="en-US" w:eastAsia="zh-CN"/>
        </w:rPr>
      </w:pPr>
    </w:p>
    <w:p>
      <w:pPr>
        <w:jc w:val="left"/>
        <w:rPr>
          <w:rFonts w:hint="eastAsia" w:ascii="仿宋_GB2312" w:hAnsi="宋体" w:eastAsia="仿宋_GB2312" w:cs="仿宋"/>
          <w:b/>
          <w:bCs/>
          <w:color w:val="auto"/>
          <w:sz w:val="28"/>
          <w:szCs w:val="28"/>
        </w:rPr>
      </w:pPr>
    </w:p>
    <w:p>
      <w:pPr>
        <w:jc w:val="left"/>
        <w:rPr>
          <w:rFonts w:hint="eastAsia" w:ascii="仿宋_GB2312" w:hAnsi="宋体" w:eastAsia="仿宋_GB2312" w:cs="仿宋"/>
          <w:b/>
          <w:bCs/>
          <w:color w:val="auto"/>
          <w:sz w:val="28"/>
          <w:szCs w:val="28"/>
        </w:rPr>
      </w:pPr>
    </w:p>
    <w:p>
      <w:pPr>
        <w:jc w:val="left"/>
        <w:rPr>
          <w:rFonts w:hint="eastAsia" w:ascii="仿宋_GB2312" w:hAnsi="宋体" w:eastAsia="仿宋_GB2312" w:cs="仿宋"/>
          <w:b/>
          <w:bCs/>
          <w:color w:val="auto"/>
          <w:sz w:val="28"/>
          <w:szCs w:val="28"/>
        </w:rPr>
      </w:pPr>
    </w:p>
    <w:p>
      <w:pPr>
        <w:jc w:val="left"/>
        <w:rPr>
          <w:rFonts w:hint="eastAsia" w:ascii="仿宋_GB2312" w:hAnsi="宋体" w:eastAsia="仿宋_GB2312" w:cs="仿宋"/>
          <w:b/>
          <w:bCs/>
          <w:color w:val="auto"/>
          <w:sz w:val="28"/>
          <w:szCs w:val="28"/>
          <w:lang w:val="en-US" w:eastAsia="zh-CN"/>
        </w:rPr>
      </w:pPr>
      <w:bookmarkStart w:id="1" w:name="_GoBack"/>
      <w:bookmarkEnd w:id="1"/>
    </w:p>
    <w:sectPr>
      <w:pgSz w:w="11907" w:h="16840"/>
      <w:pgMar w:top="1361" w:right="1418" w:bottom="1361" w:left="1418" w:header="851" w:footer="964" w:gutter="284"/>
      <w:cols w:space="720" w:num="1"/>
      <w:titlePg/>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0D"/>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1260" w:hanging="4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rPr>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jZmFjOGY3MzY4Y2U5NTY3OTcxMTFmNDA0N2ZjODYifQ=="/>
    <w:docVar w:name="DocumentID" w:val="{19225048-B9A3-4DEC-9583-AB0EBBF4B69C}"/>
    <w:docVar w:name="DocumentName" w:val="30312.007845115844"/>
  </w:docVars>
  <w:rsids>
    <w:rsidRoot w:val="68303598"/>
    <w:rsid w:val="01800041"/>
    <w:rsid w:val="0639213D"/>
    <w:rsid w:val="08DF5321"/>
    <w:rsid w:val="090647EE"/>
    <w:rsid w:val="0C6368FF"/>
    <w:rsid w:val="109D7692"/>
    <w:rsid w:val="10C1008B"/>
    <w:rsid w:val="12CD3DBB"/>
    <w:rsid w:val="13934D27"/>
    <w:rsid w:val="148D0DA3"/>
    <w:rsid w:val="17B90DF1"/>
    <w:rsid w:val="1A6803B6"/>
    <w:rsid w:val="1BAA22BC"/>
    <w:rsid w:val="1BAA299A"/>
    <w:rsid w:val="1C4F2D03"/>
    <w:rsid w:val="1CE1760F"/>
    <w:rsid w:val="217B04DD"/>
    <w:rsid w:val="262E23F9"/>
    <w:rsid w:val="26515CFA"/>
    <w:rsid w:val="2AEA6823"/>
    <w:rsid w:val="2B236C4F"/>
    <w:rsid w:val="2BC44B39"/>
    <w:rsid w:val="2CB7386A"/>
    <w:rsid w:val="2FA0105D"/>
    <w:rsid w:val="33FF662F"/>
    <w:rsid w:val="35FD0039"/>
    <w:rsid w:val="3A2B02EC"/>
    <w:rsid w:val="3D361A26"/>
    <w:rsid w:val="3F6F5ED1"/>
    <w:rsid w:val="400B247B"/>
    <w:rsid w:val="44975ED4"/>
    <w:rsid w:val="46B457D0"/>
    <w:rsid w:val="47261C3D"/>
    <w:rsid w:val="4A4B5641"/>
    <w:rsid w:val="4AD66A58"/>
    <w:rsid w:val="4C112FF3"/>
    <w:rsid w:val="4C852A0A"/>
    <w:rsid w:val="4D6E7039"/>
    <w:rsid w:val="4DB538B9"/>
    <w:rsid w:val="4DD94EEC"/>
    <w:rsid w:val="4E1253E1"/>
    <w:rsid w:val="4FBF6451"/>
    <w:rsid w:val="50F1344C"/>
    <w:rsid w:val="52171610"/>
    <w:rsid w:val="54A01153"/>
    <w:rsid w:val="54BC3F27"/>
    <w:rsid w:val="54E62189"/>
    <w:rsid w:val="575E3F95"/>
    <w:rsid w:val="57F37334"/>
    <w:rsid w:val="59D32AE1"/>
    <w:rsid w:val="5F6302C6"/>
    <w:rsid w:val="604F449B"/>
    <w:rsid w:val="6088559E"/>
    <w:rsid w:val="63D66318"/>
    <w:rsid w:val="65D60782"/>
    <w:rsid w:val="67755B92"/>
    <w:rsid w:val="67AE736F"/>
    <w:rsid w:val="68303598"/>
    <w:rsid w:val="694D4756"/>
    <w:rsid w:val="6A9F07BD"/>
    <w:rsid w:val="6CEF242D"/>
    <w:rsid w:val="70E509B9"/>
    <w:rsid w:val="70E94540"/>
    <w:rsid w:val="7129774D"/>
    <w:rsid w:val="72201FFF"/>
    <w:rsid w:val="74E25B87"/>
    <w:rsid w:val="770C66B0"/>
    <w:rsid w:val="78FA3646"/>
    <w:rsid w:val="7DCE28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360" w:lineRule="auto"/>
      <w:jc w:val="center"/>
      <w:outlineLvl w:val="0"/>
    </w:pPr>
    <w:rPr>
      <w:rFonts w:hAnsi="宋体" w:eastAsia="黑体"/>
      <w:kern w:val="0"/>
      <w:sz w:val="36"/>
      <w:szCs w:val="20"/>
    </w:rPr>
  </w:style>
  <w:style w:type="paragraph" w:styleId="4">
    <w:name w:val="heading 2"/>
    <w:basedOn w:val="1"/>
    <w:next w:val="1"/>
    <w:qFormat/>
    <w:uiPriority w:val="0"/>
    <w:pPr>
      <w:keepNext/>
      <w:keepLines/>
      <w:spacing w:before="260" w:beforeLines="0" w:after="260" w:afterLines="0" w:line="413" w:lineRule="auto"/>
      <w:outlineLvl w:val="1"/>
    </w:pPr>
    <w:rPr>
      <w:rFonts w:ascii="Arial" w:hAnsi="Arial" w:eastAsia="黑体"/>
      <w:b/>
      <w:bCs/>
      <w:sz w:val="32"/>
      <w:szCs w:val="32"/>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 w:type="paragraph" w:styleId="5">
    <w:name w:val="Normal Indent"/>
    <w:basedOn w:val="1"/>
    <w:qFormat/>
    <w:uiPriority w:val="0"/>
    <w:pPr>
      <w:ind w:firstLine="420"/>
    </w:pPr>
    <w:rPr>
      <w:szCs w:val="20"/>
    </w:rPr>
  </w:style>
  <w:style w:type="paragraph" w:styleId="6">
    <w:name w:val="Body Text"/>
    <w:basedOn w:val="1"/>
    <w:qFormat/>
    <w:uiPriority w:val="0"/>
    <w:pPr>
      <w:spacing w:line="0" w:lineRule="atLeast"/>
    </w:pPr>
    <w:rPr>
      <w:sz w:val="30"/>
      <w:szCs w:val="20"/>
    </w:rPr>
  </w:style>
  <w:style w:type="paragraph" w:styleId="7">
    <w:name w:val="Body Text Indent"/>
    <w:basedOn w:val="1"/>
    <w:qFormat/>
    <w:uiPriority w:val="0"/>
    <w:pPr>
      <w:spacing w:after="120" w:afterLines="0"/>
      <w:ind w:left="420" w:leftChars="200"/>
    </w:pPr>
  </w:style>
  <w:style w:type="paragraph" w:styleId="8">
    <w:name w:val="Plain Text"/>
    <w:basedOn w:val="1"/>
    <w:qFormat/>
    <w:uiPriority w:val="0"/>
    <w:rPr>
      <w:rFonts w:ascii="宋体" w:hAnsi="Courier New"/>
      <w:szCs w:val="20"/>
    </w:rPr>
  </w:style>
  <w:style w:type="paragraph" w:styleId="9">
    <w:name w:val="footer"/>
    <w:basedOn w:val="1"/>
    <w:qFormat/>
    <w:uiPriority w:val="0"/>
    <w:pPr>
      <w:widowControl/>
      <w:tabs>
        <w:tab w:val="center" w:pos="4153"/>
        <w:tab w:val="right" w:pos="8306"/>
      </w:tabs>
      <w:snapToGrid w:val="0"/>
      <w:jc w:val="left"/>
    </w:pPr>
    <w:rPr>
      <w:kern w:val="0"/>
      <w:sz w:val="18"/>
      <w:szCs w:val="20"/>
    </w:rPr>
  </w:style>
  <w:style w:type="paragraph" w:styleId="10">
    <w:name w:val="header"/>
    <w:basedOn w:val="1"/>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11">
    <w:name w:val="footnote text"/>
    <w:basedOn w:val="1"/>
    <w:qFormat/>
    <w:uiPriority w:val="0"/>
    <w:pPr>
      <w:snapToGrid w:val="0"/>
      <w:jc w:val="left"/>
    </w:pPr>
    <w:rPr>
      <w:sz w:val="18"/>
      <w:szCs w:val="18"/>
    </w:rPr>
  </w:style>
  <w:style w:type="paragraph" w:styleId="12">
    <w:name w:val="Body Text First Indent 2"/>
    <w:basedOn w:val="7"/>
    <w:next w:val="1"/>
    <w:qFormat/>
    <w:uiPriority w:val="0"/>
    <w:pPr>
      <w:adjustRightInd/>
      <w:snapToGrid/>
      <w:spacing w:after="120" w:line="240" w:lineRule="auto"/>
      <w:ind w:left="200" w:leftChars="200" w:firstLine="200" w:firstLineChars="200"/>
      <w:textAlignment w:val="auto"/>
    </w:pPr>
    <w:rPr>
      <w:kern w:val="2"/>
      <w:sz w:val="21"/>
    </w:rPr>
  </w:style>
  <w:style w:type="character" w:styleId="15">
    <w:name w:val="page number"/>
    <w:basedOn w:val="14"/>
    <w:qFormat/>
    <w:uiPriority w:val="0"/>
  </w:style>
  <w:style w:type="paragraph" w:customStyle="1" w:styleId="16">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character" w:customStyle="1" w:styleId="17">
    <w:name w:val="NormalCharacter"/>
    <w:semiHidden/>
    <w:qFormat/>
    <w:uiPriority w:val="0"/>
  </w:style>
  <w:style w:type="paragraph" w:customStyle="1" w:styleId="18">
    <w:name w:val="cucd-0"/>
    <w:qFormat/>
    <w:uiPriority w:val="0"/>
    <w:pPr>
      <w:spacing w:line="360" w:lineRule="auto"/>
      <w:ind w:firstLine="480" w:firstLineChars="200"/>
    </w:pPr>
    <w:rPr>
      <w:rFonts w:ascii="Times New Roman" w:hAnsi="Times New Roman" w:eastAsia="宋体"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8216</Words>
  <Characters>8636</Characters>
  <Lines>0</Lines>
  <Paragraphs>0</Paragraphs>
  <TotalTime>27</TotalTime>
  <ScaleCrop>false</ScaleCrop>
  <LinksUpToDate>false</LinksUpToDate>
  <CharactersWithSpaces>9880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2021-08-18T09:16:00Z</dcterms:created>
  <dc:creator>JUGG</dc:creator>
  <cp:lastModifiedBy>Administrator</cp:lastModifiedBy>
  <cp:lastPrinted>2022-10-14T08:03:00Z</cp:lastPrinted>
  <dcterms:modified xsi:type="dcterms:W3CDTF">2022-11-24T08:40:41Z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DE3B324738834277BD6599C5B6C98F0B</vt:lpwstr>
  </property>
</Properties>
</file>