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6"/>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spacing w:line="380" w:lineRule="exact"/>
        <w:ind w:firstLine="420" w:firstLineChars="200"/>
        <w:rPr>
          <w:rFonts w:ascii="仿宋_GB2312" w:hAnsi="仿宋_GB2312" w:eastAsia="仿宋_GB2312" w:cs="仿宋_GB2312"/>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r>
        <w:rPr>
          <w:rFonts w:hint="eastAsia" w:ascii="仿宋_GB2312" w:hAnsi="仿宋_GB2312" w:eastAsia="仿宋_GB2312" w:cs="仿宋_GB2312"/>
        </w:rPr>
        <w:t>（授权委托期限不能超过3个月）</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p>
    <w:p>
      <w:pPr>
        <w:spacing w:afterLines="50" w:line="380" w:lineRule="exact"/>
        <w:ind w:firstLine="42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Cs/>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spacing w:line="520" w:lineRule="exact"/>
        <w:jc w:val="left"/>
        <w:rPr>
          <w:rFonts w:ascii="仿宋_GB2312" w:hAnsi="仿宋" w:eastAsia="仿宋_GB2312" w:cs="仿宋"/>
          <w:sz w:val="28"/>
          <w:szCs w:val="28"/>
        </w:rPr>
      </w:pPr>
      <w:bookmarkStart w:id="0" w:name="OLE_LINK2"/>
      <w:bookmarkStart w:id="1" w:name="OLE_LINK1"/>
      <w:r>
        <w:rPr>
          <w:rFonts w:hint="eastAsia" w:ascii="仿宋_GB2312" w:hAnsi="仿宋" w:eastAsia="仿宋_GB2312" w:cs="仿宋"/>
          <w:sz w:val="28"/>
          <w:szCs w:val="28"/>
        </w:rPr>
        <w:t>附件3：</w:t>
      </w:r>
    </w:p>
    <w:p>
      <w:pPr>
        <w:ind w:firstLine="3614" w:firstLineChars="1000"/>
        <w:jc w:val="left"/>
        <w:rPr>
          <w:rFonts w:ascii="方正小标宋简体" w:eastAsia="方正小标宋简体"/>
          <w:b/>
          <w:bCs/>
          <w:sz w:val="36"/>
          <w:szCs w:val="36"/>
        </w:rPr>
      </w:pPr>
      <w:r>
        <w:rPr>
          <w:rFonts w:hint="eastAsia" w:ascii="方正小标宋简体"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_GB2312" w:eastAsia="仿宋_GB2312" w:cs="仿宋_GB2312"/>
          <w:iCs/>
          <w:color w:val="000000"/>
          <w:sz w:val="28"/>
          <w:szCs w:val="28"/>
          <w:u w:val="single"/>
          <w:shd w:val="pct10" w:color="auto" w:fill="FFFFFF"/>
        </w:rPr>
        <w:t>首钢长钢医院紧急配置负压救护车辆项目</w:t>
      </w:r>
      <w:r>
        <w:rPr>
          <w:rFonts w:hint="eastAsia" w:ascii="仿宋_GB2312" w:hAnsi="仿宋" w:eastAsia="仿宋_GB2312" w:cs="仿宋"/>
          <w:sz w:val="28"/>
          <w:szCs w:val="28"/>
        </w:rPr>
        <w:t>（招标编号：2022-145）招投标项目。</w:t>
      </w:r>
    </w:p>
    <w:p>
      <w:pPr>
        <w:spacing w:line="520" w:lineRule="exact"/>
        <w:ind w:left="210" w:leftChars="100" w:firstLine="238" w:firstLineChars="85"/>
        <w:jc w:val="left"/>
        <w:rPr>
          <w:rFonts w:ascii="仿宋_GB2312" w:hAnsi="仿宋" w:eastAsia="仿宋_GB2312" w:cs="仿宋"/>
          <w:sz w:val="28"/>
          <w:szCs w:val="28"/>
          <w:u w:val="single"/>
        </w:rPr>
      </w:pPr>
      <w:r>
        <w:rPr>
          <w:rFonts w:hint="eastAsia" w:ascii="仿宋_GB2312" w:hAnsi="仿宋" w:eastAsia="仿宋_GB2312" w:cs="仿宋"/>
          <w:sz w:val="28"/>
          <w:szCs w:val="28"/>
        </w:rPr>
        <w:t xml:space="preserve">我公司  </w:t>
      </w:r>
      <w:r>
        <w:rPr>
          <w:rFonts w:hint="eastAsia" w:ascii="仿宋_GB2312" w:hAnsi="仿宋" w:eastAsia="仿宋_GB2312" w:cs="仿宋"/>
          <w:sz w:val="28"/>
          <w:szCs w:val="28"/>
          <w:u w:val="single"/>
        </w:rPr>
        <w:t xml:space="preserve">  现金    </w:t>
      </w:r>
      <w:r>
        <w:rPr>
          <w:rFonts w:hint="eastAsia" w:ascii="仿宋_GB2312" w:hAnsi="仿宋" w:eastAsia="仿宋_GB2312" w:cs="仿宋"/>
          <w:sz w:val="28"/>
          <w:szCs w:val="28"/>
        </w:rPr>
        <w:t>向贵公司交纳投标保证金：</w:t>
      </w:r>
      <w:r>
        <w:rPr>
          <w:rFonts w:hint="eastAsia" w:ascii="仿宋_GB2312" w:hAnsi="仿宋" w:eastAsia="仿宋_GB2312" w:cs="仿宋"/>
          <w:sz w:val="28"/>
          <w:szCs w:val="28"/>
          <w:u w:val="single"/>
        </w:rPr>
        <w:t xml:space="preserve">                </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Cs/>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r>
        <w:rPr>
          <w:rFonts w:hint="eastAsia" w:ascii="仿宋_GB2312" w:hAnsi="仿宋" w:eastAsia="仿宋_GB2312" w:cs="仿宋"/>
          <w:sz w:val="28"/>
          <w:szCs w:val="28"/>
        </w:rPr>
        <w:t xml:space="preserve">                                                   </w:t>
      </w: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380" w:lineRule="exact"/>
        <w:rPr>
          <w:rFonts w:ascii="仿宋_GB2312" w:hAnsi="仿宋_GB2312" w:eastAsia="仿宋_GB2312" w:cs="仿宋_GB2312"/>
          <w:sz w:val="28"/>
          <w:szCs w:val="28"/>
        </w:rPr>
      </w:pPr>
    </w:p>
    <w:bookmarkEnd w:id="0"/>
    <w:bookmarkEnd w:id="1"/>
    <w:p>
      <w:pPr>
        <w:jc w:val="center"/>
        <w:rPr>
          <w:rFonts w:ascii="仿宋" w:hAnsi="仿宋" w:eastAsia="仿宋" w:cs="仿宋"/>
          <w:b/>
          <w:sz w:val="28"/>
          <w:szCs w:val="28"/>
        </w:rPr>
      </w:pPr>
    </w:p>
    <w:p>
      <w:pPr>
        <w:pStyle w:val="12"/>
        <w:rPr>
          <w:rFonts w:ascii="仿宋_GB2312" w:eastAsia="仿宋_GB2312"/>
          <w:sz w:val="28"/>
          <w:szCs w:val="28"/>
        </w:rPr>
      </w:pPr>
    </w:p>
    <w:p>
      <w:pPr>
        <w:spacing w:line="520" w:lineRule="exact"/>
        <w:jc w:val="left"/>
        <w:rPr>
          <w:bCs/>
          <w:sz w:val="28"/>
          <w:szCs w:val="28"/>
        </w:rPr>
      </w:pPr>
      <w:r>
        <w:rPr>
          <w:rFonts w:hint="eastAsia"/>
          <w:bCs/>
          <w:sz w:val="28"/>
          <w:szCs w:val="28"/>
        </w:rPr>
        <w:t>附件7：</w:t>
      </w:r>
    </w:p>
    <w:p>
      <w:pPr>
        <w:pStyle w:val="12"/>
        <w:rPr>
          <w:rFonts w:ascii="仿宋_GB2312" w:eastAsia="仿宋_GB2312"/>
          <w:sz w:val="28"/>
          <w:szCs w:val="28"/>
        </w:rPr>
      </w:pPr>
    </w:p>
    <w:p>
      <w:pPr>
        <w:spacing w:line="420" w:lineRule="exact"/>
        <w:ind w:firstLine="643" w:firstLineChars="200"/>
        <w:jc w:val="center"/>
        <w:rPr>
          <w:rFonts w:ascii="仿宋_GB2312" w:hAnsi="仿宋_GB2312" w:eastAsia="仿宋_GB2312" w:cs="仿宋_GB2312"/>
          <w:b/>
          <w:sz w:val="32"/>
          <w:szCs w:val="32"/>
        </w:rPr>
      </w:pPr>
      <w:r>
        <w:rPr>
          <w:rFonts w:hint="eastAsia" w:ascii="仿宋_GB2312" w:hAnsi="仿宋_GB2312" w:eastAsia="仿宋_GB2312" w:cs="仿宋_GB2312"/>
          <w:b/>
          <w:iCs/>
          <w:sz w:val="32"/>
          <w:szCs w:val="32"/>
        </w:rPr>
        <w:t>负压救护车辆</w:t>
      </w:r>
      <w:r>
        <w:rPr>
          <w:rFonts w:hint="eastAsia" w:ascii="仿宋" w:hAnsi="仿宋" w:eastAsia="仿宋"/>
          <w:b/>
          <w:sz w:val="32"/>
          <w:szCs w:val="32"/>
        </w:rPr>
        <w:t>主要技术参数：</w:t>
      </w:r>
    </w:p>
    <w:tbl>
      <w:tblPr>
        <w:tblStyle w:val="7"/>
        <w:tblW w:w="83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7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83" w:type="dxa"/>
            <w:gridSpan w:val="2"/>
            <w:tcBorders>
              <w:top w:val="single" w:color="auto" w:sz="4" w:space="0"/>
              <w:left w:val="single" w:color="auto" w:sz="4" w:space="0"/>
              <w:bottom w:val="single" w:color="auto" w:sz="4" w:space="0"/>
              <w:right w:val="single" w:color="000000" w:sz="4" w:space="0"/>
            </w:tcBorders>
            <w:vAlign w:val="center"/>
          </w:tcPr>
          <w:p>
            <w:pPr>
              <w:spacing w:line="460" w:lineRule="exact"/>
              <w:jc w:val="center"/>
              <w:rPr>
                <w:rFonts w:ascii="仿宋" w:hAnsi="仿宋" w:eastAsia="仿宋"/>
                <w:szCs w:val="21"/>
              </w:rPr>
            </w:pPr>
            <w:r>
              <w:rPr>
                <w:rFonts w:hint="eastAsia" w:ascii="仿宋" w:hAnsi="仿宋" w:eastAsia="仿宋"/>
                <w:szCs w:val="21"/>
              </w:rPr>
              <w:t>车辆参数要求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底盘要求 ：客车底盘（提供底盘型号），全车空调为原厂原车。保障车身稳定、安全。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轴距mm：≥3300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车体尺寸：mm：5320≤长≤5600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车体尺寸：mm：2040≤宽≤2100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车体尺寸：mm：2485≤高≤2505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6</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cs="宋体"/>
                <w:szCs w:val="21"/>
              </w:rPr>
              <w:t>★</w:t>
            </w:r>
            <w:r>
              <w:rPr>
                <w:rFonts w:hint="eastAsia" w:ascii="仿宋" w:hAnsi="仿宋" w:eastAsia="仿宋"/>
                <w:szCs w:val="21"/>
              </w:rPr>
              <w:t>燃油种类：汽油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7</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cs="宋体"/>
                <w:szCs w:val="21"/>
              </w:rPr>
              <w:t>★</w:t>
            </w:r>
            <w:r>
              <w:rPr>
                <w:rFonts w:hint="eastAsia" w:ascii="仿宋" w:hAnsi="仿宋" w:eastAsia="仿宋"/>
                <w:szCs w:val="21"/>
              </w:rPr>
              <w:t>排放标准：国VI（国六标准）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8</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变速器：五速手动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9</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最高时速km/h：≥150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10</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油箱容积(L)：≥80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11</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cs="宋体"/>
                <w:szCs w:val="21"/>
              </w:rPr>
              <w:t>★</w:t>
            </w:r>
            <w:r>
              <w:rPr>
                <w:rFonts w:hint="eastAsia" w:ascii="仿宋" w:hAnsi="仿宋" w:eastAsia="仿宋"/>
                <w:szCs w:val="21"/>
              </w:rPr>
              <w:t>驱动方式：前置前驱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12</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整备质量：2400kg≤整备质量≤2500kg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13</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cs="宋体"/>
                <w:szCs w:val="21"/>
              </w:rPr>
              <w:t>★</w:t>
            </w:r>
            <w:r>
              <w:rPr>
                <w:rFonts w:hint="eastAsia" w:ascii="仿宋" w:hAnsi="仿宋" w:eastAsia="仿宋"/>
                <w:szCs w:val="21"/>
              </w:rPr>
              <w:t>中控锁，遥控钥匙，后双开门，右侧大开度侧拉门,右侧拉门处上车踏步、后门上车踏步。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14</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驾驶员安全气囊, 司机椅调节，副驾驶双人座椅，驾驶员安全带未系提醒。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15</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ABS+EBD车辆安全性考虑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16</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前排电动窗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17</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倒车雷达、一体化GPS导航及影音、倒车影像系统（9寸）、行车记录仪。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18</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7座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19</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cs="宋体"/>
                <w:szCs w:val="21"/>
              </w:rPr>
              <w:t>★</w:t>
            </w:r>
            <w:r>
              <w:rPr>
                <w:rFonts w:hint="eastAsia" w:ascii="仿宋" w:hAnsi="仿宋" w:eastAsia="仿宋"/>
                <w:szCs w:val="21"/>
              </w:rPr>
              <w:t>医疗舱右侧拉门玻璃带推拉窗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20</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侧窗玻璃黑色贴膜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21</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驾驶室安装警报、警灯控制按扭。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22</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100W警报器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23</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车顶前部安装整体式异型警灯，左右各3块独立灯罩，内含LED发光源，中间贴放急救标识。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24</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车辆尾部两个与高位制动灯平齐的流线型异型警灯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25</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左右两侧爆闪灯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26</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医疗舱总电源开关，集成在车辆点火开关上，点火开关ON档，医疗舱通电，点火开关OFF档，医疗舱断电；保障医疗舱用电设备使用的可靠性与稳定性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27</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cs="宋体"/>
                <w:szCs w:val="21"/>
              </w:rPr>
              <w:t>★</w:t>
            </w:r>
            <w:r>
              <w:rPr>
                <w:rFonts w:hint="eastAsia" w:ascii="仿宋" w:hAnsi="仿宋" w:eastAsia="仿宋"/>
                <w:szCs w:val="21"/>
              </w:rPr>
              <w:t>车用紧急启动控制装置，当主电瓶在低于12V无法正常启动时，可通过此装置完成车辆启动。救护车三重电源管理装置：静态电流测试平均值不超过7.09ma，有效节约电池能源，多重保护功能，设有交流和直流输入高低压保护、过载保护、温度保护、输出短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28</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1000W智能逆变电系统，高能免维护蓄电池，可提供220V和12V电源；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29</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电器集中控制面板：可以控制医疗舱内电器，换气扇，照明，消毒等。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30</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交流220V电源插座3套，2个USB插口；直流12V插座1套。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31</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车尾底部隐藏式220V外接市电接口，16A，10米外接电源线。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32</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附加的蓄电池(≥80AH)在车辆启动时会自动充电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33</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医疗舱内饰采用全吸塑ABS材质内饰，易清洁，轻量化。材料为PMMA+ASA+ABS三层符合。气味要求：湿态（23℃）下气味等级≤2.5级，干态（80℃）下气味等级≤4级；燃烧特性要求：最大燃烧速度≤A-0mm/min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34</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驾驶室原车空调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35</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医疗舱装有原厂独立空调及独立暖风（冷暖空调调节系统满足WS/T 292-2008中华人民共和国卫生行业标准。在环境温度40℃的情况下，10min医疗舱温度达到26℃。在环境温度-20℃情况下，启动加热系统15min医疗舱温度达到22℃。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36</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医疗舱顶部安装新型正反向换气系统。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37</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紫外线延时消毒灯（停车熄火后，按下灭菌灯的电源开关，灭菌灯将在延时60s后工作，30min后自动关闭）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38</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医疗舱后部上车照明射灯1个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39</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医疗舱顶部嵌入式长条LED灯，上方嵌入式射灯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40</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医疗舱隔断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41</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医疗器械柜及整体吊柜均由全吸塑ABS材质内饰一次成型，医疗舱左侧整体式器械柜，医疗舱左上方为整体吊柜，且前后贯穿式不低于4个储物格。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42</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医用防静电高分子防滑地板，防水防酸防腐，易清洁消毒。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43</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医疗舱左后侧安装中央供氧系统：10升氧气瓶2个，德标氧气终端2个，刻度式流量湿化瓶1个、软管接头1个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44</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医疗舱输液挂钩2件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45</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医疗舱中隔墙处安装与驾驶室前后对讲系统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46</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医疗舱中隔墙处安装一个向后布局的医生单人座椅，带安全带。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47</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医疗舱右侧安装一个向前布局的单人座椅，2人座长排座椅及软包靠背。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48</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车顶安装安全扶手，长排座椅尾部安装安全扶手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49</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配置自动上车担架1副，担架平台底部铺设不锈钢保护板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50</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配置铲式担架1副,配置座椅担架1副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51</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后保险杠上面装防擦条（不锈钢）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52</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医疗舱配置垃圾桶1个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53</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灭火器及支撑架2个，前后舱各1个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54</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车辆外观：救护车标识，字样按采购单位要求制作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55</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szCs w:val="21"/>
              </w:rPr>
              <w:t>医疗舱安装内嵌式医用电子时钟（无需更换电池）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6"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 w:hAnsi="仿宋" w:eastAsia="仿宋"/>
                <w:szCs w:val="21"/>
              </w:rPr>
            </w:pPr>
            <w:r>
              <w:rPr>
                <w:rFonts w:hint="eastAsia" w:ascii="仿宋" w:hAnsi="仿宋" w:eastAsia="仿宋"/>
                <w:szCs w:val="21"/>
              </w:rPr>
              <w:t>56</w:t>
            </w:r>
          </w:p>
        </w:tc>
        <w:tc>
          <w:tcPr>
            <w:tcW w:w="7487" w:type="dxa"/>
            <w:tcBorders>
              <w:top w:val="single" w:color="auto" w:sz="4" w:space="0"/>
              <w:left w:val="single" w:color="auto" w:sz="4" w:space="0"/>
              <w:bottom w:val="single" w:color="auto" w:sz="4" w:space="0"/>
              <w:right w:val="single" w:color="000000" w:sz="4" w:space="0"/>
            </w:tcBorders>
            <w:vAlign w:val="center"/>
          </w:tcPr>
          <w:p>
            <w:pPr>
              <w:spacing w:line="460" w:lineRule="exact"/>
              <w:rPr>
                <w:rFonts w:ascii="仿宋" w:hAnsi="仿宋" w:eastAsia="仿宋"/>
                <w:szCs w:val="21"/>
              </w:rPr>
            </w:pPr>
            <w:r>
              <w:rPr>
                <w:rFonts w:hint="eastAsia" w:ascii="仿宋" w:hAnsi="仿宋" w:eastAsia="仿宋" w:cs="宋体"/>
                <w:szCs w:val="21"/>
              </w:rPr>
              <w:t>★</w:t>
            </w:r>
            <w:r>
              <w:rPr>
                <w:rFonts w:hint="eastAsia" w:ascii="仿宋" w:hAnsi="仿宋" w:eastAsia="仿宋"/>
                <w:szCs w:val="21"/>
              </w:rPr>
              <w:t>负压装置：</w:t>
            </w:r>
          </w:p>
          <w:p>
            <w:pPr>
              <w:spacing w:line="460" w:lineRule="exact"/>
              <w:rPr>
                <w:rFonts w:ascii="仿宋" w:hAnsi="仿宋" w:eastAsia="仿宋"/>
                <w:szCs w:val="21"/>
              </w:rPr>
            </w:pPr>
            <w:r>
              <w:rPr>
                <w:rFonts w:hint="eastAsia" w:ascii="仿宋" w:hAnsi="仿宋" w:eastAsia="仿宋"/>
                <w:szCs w:val="21"/>
              </w:rPr>
              <w:t>专门用于负压救护车，避免车内污染空气外泄，并对内部污染空气净化处理后外排，保护车外环境安全，设备安装在医疗舱左侧医疗柜里面。</w:t>
            </w:r>
          </w:p>
          <w:p>
            <w:pPr>
              <w:spacing w:line="460" w:lineRule="exact"/>
              <w:rPr>
                <w:rFonts w:ascii="仿宋" w:hAnsi="仿宋" w:eastAsia="仿宋"/>
                <w:szCs w:val="21"/>
              </w:rPr>
            </w:pPr>
            <w:r>
              <w:rPr>
                <w:rFonts w:hint="eastAsia" w:ascii="仿宋" w:hAnsi="仿宋" w:eastAsia="仿宋"/>
                <w:szCs w:val="21"/>
              </w:rPr>
              <w:t>2、多种净化消毒组合。</w:t>
            </w:r>
          </w:p>
          <w:p>
            <w:pPr>
              <w:spacing w:line="460" w:lineRule="exact"/>
              <w:rPr>
                <w:rFonts w:ascii="仿宋" w:hAnsi="仿宋" w:eastAsia="仿宋"/>
                <w:szCs w:val="21"/>
              </w:rPr>
            </w:pPr>
            <w:r>
              <w:rPr>
                <w:rFonts w:hint="eastAsia" w:ascii="仿宋" w:hAnsi="仿宋" w:eastAsia="仿宋"/>
                <w:szCs w:val="21"/>
              </w:rPr>
              <w:t>3、应符合国家或行业相关标准。</w:t>
            </w:r>
          </w:p>
        </w:tc>
      </w:tr>
    </w:tbl>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质保期：底盘保修期以底盘保修卡为准（3 年或 6 万公里，先到为准，具体保修范围详见车辆使用说明书），车辆改装部分保修期为乙方购买车辆之日起 1 年或者行驶里程 2万 公里，以先到者为准。</w:t>
      </w:r>
    </w:p>
    <w:p>
      <w:pPr>
        <w:spacing w:line="420" w:lineRule="exact"/>
        <w:ind w:firstLine="643" w:firstLineChars="200"/>
        <w:rPr>
          <w:rFonts w:ascii="仿宋_GB2312" w:hAnsi="仿宋_GB2312" w:eastAsia="仿宋_GB2312" w:cs="仿宋_GB2312"/>
        </w:rPr>
      </w:pPr>
      <w:r>
        <w:rPr>
          <w:rFonts w:hint="eastAsia" w:ascii="仿宋_GB2312" w:hAnsi="仿宋_GB2312" w:eastAsia="仿宋_GB2312" w:cs="仿宋_GB2312"/>
          <w:b/>
          <w:sz w:val="32"/>
          <w:szCs w:val="32"/>
        </w:rPr>
        <w:t>配套</w:t>
      </w:r>
      <w:r>
        <w:rPr>
          <w:rFonts w:ascii="仿宋_GB2312" w:hAnsi="仿宋_GB2312" w:eastAsia="仿宋_GB2312" w:cs="仿宋_GB2312"/>
          <w:b/>
          <w:sz w:val="32"/>
          <w:szCs w:val="32"/>
        </w:rPr>
        <w:t>的医疗设备</w:t>
      </w:r>
      <w:r>
        <w:rPr>
          <w:rFonts w:ascii="仿宋_GB2312" w:hAnsi="仿宋_GB2312" w:eastAsia="仿宋_GB2312" w:cs="仿宋_GB2312"/>
          <w:b/>
        </w:rPr>
        <w:t>（</w:t>
      </w:r>
      <w:r>
        <w:rPr>
          <w:rFonts w:hint="eastAsia" w:ascii="仿宋_GB2312" w:hAnsi="仿宋_GB2312" w:eastAsia="仿宋_GB2312" w:cs="仿宋_GB2312"/>
          <w:b/>
        </w:rPr>
        <w:t>呼吸机</w:t>
      </w:r>
      <w:r>
        <w:rPr>
          <w:rFonts w:ascii="仿宋_GB2312" w:hAnsi="仿宋_GB2312" w:eastAsia="仿宋_GB2312" w:cs="仿宋_GB2312"/>
          <w:b/>
        </w:rPr>
        <w:t>、</w:t>
      </w:r>
      <w:r>
        <w:rPr>
          <w:rFonts w:hint="eastAsia" w:ascii="仿宋_GB2312" w:hAnsi="仿宋_GB2312" w:eastAsia="仿宋_GB2312" w:cs="仿宋_GB2312"/>
          <w:b/>
        </w:rPr>
        <w:t>除颤监护仪</w:t>
      </w:r>
      <w:r>
        <w:rPr>
          <w:rFonts w:ascii="仿宋_GB2312" w:hAnsi="仿宋_GB2312" w:eastAsia="仿宋_GB2312" w:cs="仿宋_GB2312"/>
          <w:b/>
        </w:rPr>
        <w:t>、</w:t>
      </w:r>
      <w:r>
        <w:rPr>
          <w:rFonts w:hint="eastAsia" w:ascii="仿宋_GB2312" w:hAnsi="仿宋_GB2312" w:eastAsia="仿宋_GB2312" w:cs="仿宋_GB2312"/>
          <w:b/>
        </w:rPr>
        <w:t>监护仪</w:t>
      </w:r>
      <w:r>
        <w:rPr>
          <w:rFonts w:ascii="仿宋_GB2312" w:hAnsi="仿宋_GB2312" w:eastAsia="仿宋_GB2312" w:cs="仿宋_GB2312"/>
          <w:b/>
        </w:rPr>
        <w:t>、</w:t>
      </w:r>
      <w:r>
        <w:rPr>
          <w:rFonts w:hint="eastAsia" w:ascii="仿宋_GB2312" w:hAnsi="仿宋_GB2312" w:eastAsia="仿宋_GB2312" w:cs="仿宋_GB2312"/>
          <w:b/>
        </w:rPr>
        <w:t>便携式吸痰器</w:t>
      </w:r>
      <w:r>
        <w:rPr>
          <w:rFonts w:ascii="仿宋_GB2312" w:hAnsi="仿宋_GB2312" w:eastAsia="仿宋_GB2312" w:cs="仿宋_GB2312"/>
          <w:b/>
        </w:rPr>
        <w:t>、心电图机）</w:t>
      </w:r>
      <w:r>
        <w:rPr>
          <w:rFonts w:hint="eastAsia" w:ascii="仿宋_GB2312" w:hAnsi="仿宋_GB2312" w:eastAsia="仿宋_GB2312" w:cs="仿宋_GB2312"/>
        </w:rPr>
        <w:t>参数如下</w:t>
      </w:r>
      <w:r>
        <w:rPr>
          <w:rFonts w:ascii="仿宋_GB2312" w:hAnsi="仿宋_GB2312" w:eastAsia="仿宋_GB2312" w:cs="仿宋_GB2312"/>
        </w:rPr>
        <w:t>：</w:t>
      </w:r>
    </w:p>
    <w:p>
      <w:pPr>
        <w:spacing w:line="420" w:lineRule="exact"/>
        <w:ind w:firstLine="422" w:firstLineChars="200"/>
        <w:rPr>
          <w:rFonts w:ascii="仿宋_GB2312" w:hAnsi="仿宋_GB2312" w:eastAsia="仿宋_GB2312" w:cs="仿宋_GB2312"/>
          <w:b/>
        </w:rPr>
      </w:pPr>
      <w:r>
        <w:rPr>
          <w:rFonts w:ascii="仿宋_GB2312" w:hAnsi="仿宋_GB2312" w:eastAsia="仿宋_GB2312" w:cs="仿宋_GB2312"/>
          <w:b/>
        </w:rPr>
        <w:fldChar w:fldCharType="begin"/>
      </w:r>
      <w:r>
        <w:rPr>
          <w:rFonts w:ascii="仿宋_GB2312" w:hAnsi="仿宋_GB2312" w:eastAsia="仿宋_GB2312" w:cs="仿宋_GB2312"/>
          <w:b/>
        </w:rPr>
        <w:instrText xml:space="preserve"> </w:instrText>
      </w:r>
      <w:r>
        <w:rPr>
          <w:rFonts w:hint="eastAsia" w:ascii="仿宋_GB2312" w:hAnsi="仿宋_GB2312" w:eastAsia="仿宋_GB2312" w:cs="仿宋_GB2312"/>
          <w:b/>
        </w:rPr>
        <w:instrText xml:space="preserve">= 1 \* GB3</w:instrText>
      </w:r>
      <w:r>
        <w:rPr>
          <w:rFonts w:ascii="仿宋_GB2312" w:hAnsi="仿宋_GB2312" w:eastAsia="仿宋_GB2312" w:cs="仿宋_GB2312"/>
          <w:b/>
        </w:rPr>
        <w:instrText xml:space="preserve"> </w:instrText>
      </w:r>
      <w:r>
        <w:rPr>
          <w:rFonts w:ascii="仿宋_GB2312" w:hAnsi="仿宋_GB2312" w:eastAsia="仿宋_GB2312" w:cs="仿宋_GB2312"/>
          <w:b/>
        </w:rPr>
        <w:fldChar w:fldCharType="separate"/>
      </w:r>
      <w:r>
        <w:rPr>
          <w:rFonts w:ascii="仿宋_GB2312" w:hAnsi="仿宋_GB2312" w:eastAsia="仿宋_GB2312" w:cs="仿宋_GB2312"/>
          <w:b/>
        </w:rPr>
        <w:t>①</w:t>
      </w:r>
      <w:r>
        <w:rPr>
          <w:rFonts w:ascii="仿宋_GB2312" w:hAnsi="仿宋_GB2312" w:eastAsia="仿宋_GB2312" w:cs="仿宋_GB2312"/>
          <w:b/>
        </w:rPr>
        <w:fldChar w:fldCharType="end"/>
      </w:r>
      <w:r>
        <w:rPr>
          <w:rFonts w:hint="eastAsia" w:ascii="仿宋_GB2312" w:hAnsi="仿宋_GB2312" w:eastAsia="仿宋_GB2312" w:cs="仿宋_GB2312"/>
          <w:b/>
        </w:rPr>
        <w:t>.呼吸机参数</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基本要求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适用于成人及儿童进行通气辅助及呼吸支持的呼吸机。</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电动电控呼吸机，涡轮驱动产生空气气源，方便进行转运。</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主机采用12.1英寸彩色TFT触摸控制屏，分辨率1280*800。重量小于10千克（不含台车），方便手提及患者转运。</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中文操作界面、中文报警、操作提示信息、参数调节防错确认。具备便利的锁屏功能。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吸气安全阀和呼气阀组件可徒手拆卸，并能高温高压蒸汽消毒（134℃，15分钟），以防止交叉感染。</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具备开机自检，可进行系统顺应性补偿并检测系统泄漏量，检查系统管道阻力，测试流量传感器、呼气阀和安全阀等部件。</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具备待机模式、有创通气、氧疗模式，可选配无创通气。</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可通过病人类型及体重进行参数快速设置。</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呼吸模式及功能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常规模式：容量控制通气下的辅助控制通气A/C和同步间歇指令通气SIMV、压力控制通气下的辅助控制通气A/C和同步间歇指令通气SIMV、持续气道正压通气和压力支持CPAP/PSV、窒息通气模式及SIGH叹息模式。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高级模式：双相气道正压通气（例如BIPAP或Bi-vent或Bilevel），自动适应性压力调整容量控制通气（例如AUTOFLOW或PRVC或VC+）及其同步间歇指令通气SIMV（例如SIMV-PRVC）。</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无创通气模式：具备无创通气NIV。</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氧疗模式：具备高流速氧疗功能，氧疗流速和氧浓度可设，可加湿加温。</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其他功能：具备手动呼吸、吸气保持、呼气保持、同步雾化、纯氧灌注、智能吸痰、</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设置参数要求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潮气量：20ml-2000ml</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呼吸频率：1-100次/min</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SIMV频率：1-60次/min</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 xml:space="preserve">吸/呼比：1:10-4:1 </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最大峰值流速：≥210L/min</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吸气压力： 5-80 cmH2O</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压力支持：0-80cmH2O</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呼气末正压PEEP：0-45 cmH2O</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流量触发灵敏度： 0.5-15L/ min</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呼气触发灵敏度：Auto, 10-85%</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氧浓度：21-100%</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压力上升时间：0-2s</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吸气时间：0.2-10s</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监测参数要求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气道压力参数：呼气末正压PEEP、气道峰压、平台压、平均压。</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分钟通气量参数：总的分钟呼出通气量、自主呼吸分钟呼出通气量、泄露的分钟通气量。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潮气量参数：吸入潮气量、呼出潮气量、理想体重输送的潮气量（例如TVe/IBW或VT/PBW）。</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呼吸频率参数：总的呼吸频率、自主呼吸频率、机控呼吸频率。</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 xml:space="preserve">其他参数：具备气道阻力、肺顺应性、浅快呼吸指数、呼吸功监测、呼气时间常数。 </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波形显示：压力/时间、流速/时间、容量/时间，最多可同屏显示4道波形，波形的颜色可调。</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具备压力/容量、容量/流速、流速/压力环3种呼吸环监测。</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呼吸波形及呼吸环可冻结，呼吸环可存储、对比。支持波形、环图、监测值同屏显示。</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趋势记录：提供72小时的全部监测参数的趋势图、表分析。</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日志记录：提供最多5000条历史事件信息的记录。</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报警要求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智能化分级报警、声光报警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气道压力：过高报警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呼出每分钟通气量：过高/过低报警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自主呼吸频率：过高报警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呼出潮气量：过高/过低报警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呼气末正压：过高/过低报警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吸入氧浓度：过高/过低报警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窒息报警，时间可设置（5-60s）</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智能识别呼吸管路脱落、泄露、阻塞，关键器件故障</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电源、气源中断报警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其他功能要求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具备自动漏气补偿功能。最大漏气补偿流速：65 L/min（成人） , 45 L/min （儿童）</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具备智能同步技术：呼吸触发灵敏度自动调节，提高病人自主呼吸时的舒适度和人机同步性，无需医护人员频繁手动调节参数。</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灵活的气源方案：提供高压氧气气源和低压氧气气源两种方式。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病人数据、屏幕截图、机器设置等数据可通过USB接口导出。</w:t>
      </w:r>
    </w:p>
    <w:p>
      <w:pPr>
        <w:spacing w:line="420" w:lineRule="exact"/>
        <w:ind w:firstLine="420" w:firstLineChars="200"/>
        <w:rPr>
          <w:rFonts w:ascii="仿宋_GB2312" w:hAnsi="仿宋_GB2312" w:eastAsia="仿宋_GB2312" w:cs="仿宋_GB2312"/>
        </w:rPr>
      </w:pPr>
      <w:r>
        <w:rPr>
          <w:rFonts w:ascii="仿宋_GB2312" w:hAnsi="仿宋_GB2312" w:eastAsia="仿宋_GB2312" w:cs="仿宋_GB2312"/>
        </w:rPr>
        <w:fldChar w:fldCharType="begin"/>
      </w:r>
      <w:r>
        <w:rPr>
          <w:rFonts w:ascii="仿宋_GB2312" w:hAnsi="仿宋_GB2312" w:eastAsia="仿宋_GB2312" w:cs="仿宋_GB2312"/>
        </w:rPr>
        <w:instrText xml:space="preserve"> </w:instrText>
      </w:r>
      <w:r>
        <w:rPr>
          <w:rFonts w:hint="eastAsia" w:ascii="仿宋_GB2312" w:hAnsi="仿宋_GB2312" w:eastAsia="仿宋_GB2312" w:cs="仿宋_GB2312"/>
        </w:rPr>
        <w:instrText xml:space="preserve">= 2 \* GB3</w:instrText>
      </w:r>
      <w:r>
        <w:rPr>
          <w:rFonts w:ascii="仿宋_GB2312" w:hAnsi="仿宋_GB2312" w:eastAsia="仿宋_GB2312" w:cs="仿宋_GB2312"/>
        </w:rPr>
        <w:instrText xml:space="preserve"> </w:instrText>
      </w:r>
      <w:r>
        <w:rPr>
          <w:rFonts w:ascii="仿宋_GB2312" w:hAnsi="仿宋_GB2312" w:eastAsia="仿宋_GB2312" w:cs="仿宋_GB2312"/>
        </w:rPr>
        <w:fldChar w:fldCharType="separate"/>
      </w:r>
      <w:r>
        <w:rPr>
          <w:rFonts w:ascii="仿宋_GB2312" w:hAnsi="仿宋_GB2312" w:eastAsia="仿宋_GB2312" w:cs="仿宋_GB2312"/>
        </w:rPr>
        <w:t>②</w:t>
      </w:r>
      <w:r>
        <w:rPr>
          <w:rFonts w:ascii="仿宋_GB2312" w:hAnsi="仿宋_GB2312" w:eastAsia="仿宋_GB2312" w:cs="仿宋_GB2312"/>
        </w:rPr>
        <w:fldChar w:fldCharType="end"/>
      </w:r>
      <w:r>
        <w:rPr>
          <w:rFonts w:hint="eastAsia" w:ascii="仿宋_GB2312" w:hAnsi="仿宋_GB2312" w:eastAsia="仿宋_GB2312" w:cs="仿宋_GB2312"/>
        </w:rPr>
        <w:t>.</w:t>
      </w:r>
      <w:r>
        <w:rPr>
          <w:rFonts w:hint="eastAsia"/>
        </w:rPr>
        <w:t xml:space="preserve"> </w:t>
      </w:r>
      <w:r>
        <w:rPr>
          <w:rFonts w:hint="eastAsia" w:ascii="仿宋_GB2312" w:hAnsi="仿宋_GB2312" w:eastAsia="仿宋_GB2312" w:cs="仿宋_GB2312"/>
          <w:b/>
        </w:rPr>
        <w:t>除颤监护仪技术参数要求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物理规格/性能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整机重量（标准配置，含电池、体外板、记录仪）≤5.3kg</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抗冲击/跌落性能：具备优异的抗冲击/跌落性能，裸机六面均可承受≥0.75m跌落冲击</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防尘防水级别：设备具有良好的防尘防水设计，防尘防水级别IP44</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环境适应能力强，工作温度范围至少满足0</w:t>
      </w:r>
      <w:r>
        <w:rPr>
          <w:rFonts w:eastAsia="仿宋_GB2312" w:cs="Calibri"/>
        </w:rPr>
        <w:t>º</w:t>
      </w:r>
      <w:r>
        <w:rPr>
          <w:rFonts w:hint="eastAsia" w:ascii="仿宋_GB2312" w:hAnsi="仿宋_GB2312" w:eastAsia="仿宋_GB2312" w:cs="仿宋_GB2312"/>
        </w:rPr>
        <w:t>C～45</w:t>
      </w:r>
      <w:r>
        <w:rPr>
          <w:rFonts w:eastAsia="仿宋_GB2312" w:cs="Calibri"/>
        </w:rPr>
        <w:t>º</w:t>
      </w:r>
      <w:r>
        <w:rPr>
          <w:rFonts w:hint="eastAsia" w:ascii="仿宋_GB2312" w:hAnsi="仿宋_GB2312" w:eastAsia="仿宋_GB2312" w:cs="仿宋_GB2312"/>
        </w:rPr>
        <w:t>C，且从室温环境下进入-20</w:t>
      </w:r>
      <w:r>
        <w:rPr>
          <w:rFonts w:eastAsia="仿宋_GB2312" w:cs="Calibri"/>
        </w:rPr>
        <w:t>º</w:t>
      </w:r>
      <w:r>
        <w:rPr>
          <w:rFonts w:hint="eastAsia" w:ascii="仿宋_GB2312" w:hAnsi="仿宋_GB2312" w:eastAsia="仿宋_GB2312" w:cs="仿宋_GB2312"/>
        </w:rPr>
        <w:t>C环境后，至少能工作60分钟；存储温度范围至少满足-30～70</w:t>
      </w:r>
      <w:r>
        <w:rPr>
          <w:rFonts w:eastAsia="仿宋_GB2312" w:cs="Calibri"/>
        </w:rPr>
        <w:t>º</w:t>
      </w:r>
      <w:r>
        <w:rPr>
          <w:rFonts w:hint="eastAsia" w:ascii="仿宋_GB2312" w:hAnsi="仿宋_GB2312" w:eastAsia="仿宋_GB2312" w:cs="仿宋_GB2312"/>
        </w:rPr>
        <w:t>C；工作/存储湿度范围至少满足10%～95%，非冷凝；工作/存储海拔高度（大气压力）范围至少满足：-381m～+4575m（57.0kPa～106.2kPa）</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除颤监护仪面板按除颤1-2-3步操作分区显示</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提供双色报警灯</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除颤监护仪内置常用操作互动学习指南</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可通过扫描设备机身二维码查看设备培训维护视频</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显示屏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彩色液晶显示屏，屏幕尺寸≥7英寸；分辨率不小于800×480像素；可显示≥4通道监护参数波形</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支持中文操作界面</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有高对比度显示界面，支持户外查看</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电源及电池</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内置可充电锂电池，方便拆卸，无需依靠授权维修人员更换</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电池工作时间：连续监护时间不小于6小时；不少于300次200J充放电；不少于200次360J充放电</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手动除颤</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支持成人、小儿、新生儿，提供注册证等证明文件</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采用双相波技术，双相指数截断（BTE）波形，波形参数可根据病人阻抗进行自动补偿</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★手动除颤分为同步和非同步两种方式。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输出能量：成人最大能量可支持360J</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开机速度快，从开机到显示除颤界面小于2s</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充电至200J小于3s</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除颤后心电基线恢复时间小于2.5s</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病人接触状态指示：体外除颤电极板支持显示病人接触阻抗状态；除颤监护仪界面可显示病人接触阻抗状态和接触阻抗值</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手动除颤模式支持自动节律分析，提供除颤操作指引</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手动除颤可按预制序列和病人类型自动调节能量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体外除颤电极板支持成人、小儿电极板一体式设计，无需额外小儿电极板转接件</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体外除颤电极板支持能量选择、充电和放电操作</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支持手动事件标记功能，方便医护人员随时记录治疗、用药等操作时间</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监护</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支持3导心电监护，HR范围：成人15-300bpm，小儿/新生儿：15-350bpm</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频率响应范围最大支持0.05-150Hz；共模抑制比最大支持＞105dB</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记录仪</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内置50mm热敏记录仪</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自动打印报告：充放电、标记事件、自检、报警</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走纸速度：6.25,12.5,25,50mm/s，提供说明书等证明材料</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存储容量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设备的内部存储容量不小于1Gbit</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可存储不少于10小时连续心电波形；可存储不少于500个事件</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支持USB接口，可通过外部USB闪存设备导出抢救记录数据</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设备维护与自检</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设备具有用户检测和设备自检功能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支持开机检测和运行中实时检测；设备处于关机状态下支持每日、每周的设备自检</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定期关机自检应覆盖全面，检测项应至少包含以下内容：除颤治疗功能、电池、充放电，其中充放电检测应覆盖最大能量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支持用户检测提醒，当超过建议的时间未进行相应检测时，除颤监护仪会给出提示</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提供设备状态指示灯：根据自检结果，红灯/绿灯指示设备状态</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查看自检报告方便快捷，操作步骤不超过2步；自检报告显示的检测项支持用户自定义。</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自检失败时，提供图文故障排除提示</w:t>
      </w:r>
    </w:p>
    <w:p>
      <w:pPr>
        <w:spacing w:line="420" w:lineRule="exact"/>
        <w:ind w:firstLine="422" w:firstLineChars="200"/>
        <w:rPr>
          <w:rFonts w:ascii="仿宋_GB2312" w:hAnsi="仿宋_GB2312" w:eastAsia="仿宋_GB2312" w:cs="仿宋_GB2312"/>
          <w:b/>
        </w:rPr>
      </w:pPr>
      <w:r>
        <w:rPr>
          <w:rFonts w:ascii="仿宋_GB2312" w:hAnsi="仿宋_GB2312" w:eastAsia="仿宋_GB2312" w:cs="仿宋_GB2312"/>
          <w:b/>
        </w:rPr>
        <w:fldChar w:fldCharType="begin"/>
      </w:r>
      <w:r>
        <w:rPr>
          <w:rFonts w:ascii="仿宋_GB2312" w:hAnsi="仿宋_GB2312" w:eastAsia="仿宋_GB2312" w:cs="仿宋_GB2312"/>
          <w:b/>
        </w:rPr>
        <w:instrText xml:space="preserve"> </w:instrText>
      </w:r>
      <w:r>
        <w:rPr>
          <w:rFonts w:hint="eastAsia" w:ascii="仿宋_GB2312" w:hAnsi="仿宋_GB2312" w:eastAsia="仿宋_GB2312" w:cs="仿宋_GB2312"/>
          <w:b/>
        </w:rPr>
        <w:instrText xml:space="preserve">= 3 \* GB3</w:instrText>
      </w:r>
      <w:r>
        <w:rPr>
          <w:rFonts w:ascii="仿宋_GB2312" w:hAnsi="仿宋_GB2312" w:eastAsia="仿宋_GB2312" w:cs="仿宋_GB2312"/>
          <w:b/>
        </w:rPr>
        <w:instrText xml:space="preserve"> </w:instrText>
      </w:r>
      <w:r>
        <w:rPr>
          <w:rFonts w:ascii="仿宋_GB2312" w:hAnsi="仿宋_GB2312" w:eastAsia="仿宋_GB2312" w:cs="仿宋_GB2312"/>
          <w:b/>
        </w:rPr>
        <w:fldChar w:fldCharType="separate"/>
      </w:r>
      <w:r>
        <w:rPr>
          <w:rFonts w:ascii="仿宋_GB2312" w:hAnsi="仿宋_GB2312" w:eastAsia="仿宋_GB2312" w:cs="仿宋_GB2312"/>
          <w:b/>
        </w:rPr>
        <w:t>③</w:t>
      </w:r>
      <w:r>
        <w:rPr>
          <w:rFonts w:ascii="仿宋_GB2312" w:hAnsi="仿宋_GB2312" w:eastAsia="仿宋_GB2312" w:cs="仿宋_GB2312"/>
          <w:b/>
        </w:rPr>
        <w:fldChar w:fldCharType="end"/>
      </w:r>
      <w:r>
        <w:rPr>
          <w:rFonts w:hint="eastAsia" w:ascii="仿宋_GB2312" w:hAnsi="仿宋_GB2312" w:eastAsia="仿宋_GB2312" w:cs="仿宋_GB2312"/>
          <w:b/>
        </w:rPr>
        <w:t>. 监护仪技术参数要求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 xml:space="preserve">监护仪外形结构：   </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便携一体式监护仪,可用于监护成人,儿童,新生儿患者</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&gt;=10寸彩色LED背光液晶显示屏，彩色高分辨率达800★600，8通道波形显示</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整机无风扇设计，降低环境噪音干扰</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监测参数：</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标准配置可监测心电，呼吸，无创血压，血氧饱和度，脉搏和体温</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采用ECG多导同步分析专利技术，保证心电监护的优异性</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心电波形速度支持6.25、12.5、25和50mm/s不少于4种选择</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具备智能导联脱落监测功能，个别导联脱落的情况下仍能保持监护</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提供心率变化统计界面，包括患者平均心率、夜间平均心率、白天平均心率、最快心率和最慢心率等，直观快速了解过去24小时患者的心率变化和心率分布情况。</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血氧监测时标配支持PI血氧灌注指数的监测，有效反映血氧灌注情况</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采用抗干扰和弱灌注血氧专利技术保证血氧监护的优异性</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无创血压支持手动、连续、自动和序列测量模式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成人无创血压测量范围：收缩压 25~290mmHg，舒张压 10~250mmHg</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小儿无创血压测量范围：收缩压 25~240mmHg，舒张压 10~200mmHg</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新生儿无创血压测量范围：收缩压 25~140mmHg，舒张压 10~115mmHg</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提供动态血压分析界面，包括平均血压、白天平均血压、夜间平均血压、最高血压、最低血压和正常血压比例等，直观快速了解过去24小时患者血压变化和分布情况。</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系统功能：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支持中/英文输入</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具有三级声光报警，参数报警级别可调</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具备报警集中设置功能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具备血液动力学、药物计算功能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支持&gt;=1000小时趋势数据的存储与回顾功能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具备监护模式、待机模式，演示模式、隐私模式和夜间模式不少于5种工作模式</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具备趋势共存界面、呼吸氧合图界面，大字体显示界面，及标准显示界面等多种显示界面</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具备网络通信功能，实现中央站的集中监护</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标配一块高能锂电池，工作时间可达4小时</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支持监护仪系统日志的向U盘设备的导出功能，日志包括：系统状态、异常和技术报警等，满足设备管理的日常维护需求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主机集成附件收纳槽，支持将心电、血氧和无创血压等导联线附件进行收纳放置，方便监护仪设备的高效管理和转移。</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安全与认证：</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投标型号为中国医学器械装备协会发布的优秀国产医疗产品目录中包括品牌和型号。</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投标型号监护仪认证：通过国家三类注册，CE认证，提供证明材料</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产品设计使用年限≥8年。</w:t>
      </w:r>
    </w:p>
    <w:p>
      <w:pPr>
        <w:spacing w:line="420" w:lineRule="exact"/>
        <w:ind w:firstLine="422" w:firstLineChars="200"/>
        <w:rPr>
          <w:rFonts w:ascii="仿宋_GB2312" w:hAnsi="仿宋_GB2312" w:eastAsia="仿宋_GB2312" w:cs="仿宋_GB2312"/>
          <w:b/>
        </w:rPr>
      </w:pPr>
      <w:r>
        <w:rPr>
          <w:rFonts w:ascii="仿宋_GB2312" w:hAnsi="仿宋_GB2312" w:eastAsia="仿宋_GB2312" w:cs="仿宋_GB2312"/>
          <w:b/>
        </w:rPr>
        <w:fldChar w:fldCharType="begin"/>
      </w:r>
      <w:r>
        <w:rPr>
          <w:rFonts w:ascii="仿宋_GB2312" w:hAnsi="仿宋_GB2312" w:eastAsia="仿宋_GB2312" w:cs="仿宋_GB2312"/>
          <w:b/>
        </w:rPr>
        <w:instrText xml:space="preserve"> </w:instrText>
      </w:r>
      <w:r>
        <w:rPr>
          <w:rFonts w:hint="eastAsia" w:ascii="仿宋_GB2312" w:hAnsi="仿宋_GB2312" w:eastAsia="仿宋_GB2312" w:cs="仿宋_GB2312"/>
          <w:b/>
        </w:rPr>
        <w:instrText xml:space="preserve">= 4 \* GB3</w:instrText>
      </w:r>
      <w:r>
        <w:rPr>
          <w:rFonts w:ascii="仿宋_GB2312" w:hAnsi="仿宋_GB2312" w:eastAsia="仿宋_GB2312" w:cs="仿宋_GB2312"/>
          <w:b/>
        </w:rPr>
        <w:instrText xml:space="preserve"> </w:instrText>
      </w:r>
      <w:r>
        <w:rPr>
          <w:rFonts w:ascii="仿宋_GB2312" w:hAnsi="仿宋_GB2312" w:eastAsia="仿宋_GB2312" w:cs="仿宋_GB2312"/>
          <w:b/>
        </w:rPr>
        <w:fldChar w:fldCharType="separate"/>
      </w:r>
      <w:r>
        <w:rPr>
          <w:rFonts w:ascii="仿宋_GB2312" w:hAnsi="仿宋_GB2312" w:eastAsia="仿宋_GB2312" w:cs="仿宋_GB2312"/>
          <w:b/>
        </w:rPr>
        <w:t>④</w:t>
      </w:r>
      <w:r>
        <w:rPr>
          <w:rFonts w:ascii="仿宋_GB2312" w:hAnsi="仿宋_GB2312" w:eastAsia="仿宋_GB2312" w:cs="仿宋_GB2312"/>
          <w:b/>
        </w:rPr>
        <w:fldChar w:fldCharType="end"/>
      </w:r>
      <w:r>
        <w:rPr>
          <w:rFonts w:hint="eastAsia" w:ascii="仿宋_GB2312" w:hAnsi="仿宋_GB2312" w:eastAsia="仿宋_GB2312" w:cs="仿宋_GB2312"/>
          <w:b/>
        </w:rPr>
        <w:t>. 便携式吸痰器技术参数要求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 xml:space="preserve">产品适用范围:供吸脓血、痰等粘稠液体。   </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★采用无油润滑泵，使环境不受油雾污染。噪音低。</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电源:AC220V，50Hz</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输入功率: ≥80VA</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极限负压值:≥0.06MPa</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负压调节范围:0.02MPa至极限负压值；可根据需要无级调压。</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抽气速率:≥15L/min</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贮液瓶:1000mL，一只</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噪音:≤65dB(A)10.净重:4kg</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环境温度范围:+5%C~+40°℃13.相对湿度范围:30%~80%</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大气压力范围:860hPa~1060hPa之间。</w:t>
      </w:r>
    </w:p>
    <w:p>
      <w:pPr>
        <w:spacing w:line="420" w:lineRule="exact"/>
        <w:ind w:firstLine="422" w:firstLineChars="200"/>
        <w:rPr>
          <w:rFonts w:ascii="仿宋_GB2312" w:hAnsi="仿宋_GB2312" w:eastAsia="仿宋_GB2312" w:cs="仿宋_GB2312"/>
          <w:b/>
        </w:rPr>
      </w:pPr>
      <w:r>
        <w:rPr>
          <w:rFonts w:ascii="仿宋_GB2312" w:hAnsi="仿宋_GB2312" w:eastAsia="仿宋_GB2312" w:cs="仿宋_GB2312"/>
          <w:b/>
        </w:rPr>
        <w:fldChar w:fldCharType="begin"/>
      </w:r>
      <w:r>
        <w:rPr>
          <w:rFonts w:ascii="仿宋_GB2312" w:hAnsi="仿宋_GB2312" w:eastAsia="仿宋_GB2312" w:cs="仿宋_GB2312"/>
          <w:b/>
        </w:rPr>
        <w:instrText xml:space="preserve"> </w:instrText>
      </w:r>
      <w:r>
        <w:rPr>
          <w:rFonts w:hint="eastAsia" w:ascii="仿宋_GB2312" w:hAnsi="仿宋_GB2312" w:eastAsia="仿宋_GB2312" w:cs="仿宋_GB2312"/>
          <w:b/>
        </w:rPr>
        <w:instrText xml:space="preserve">= 5 \* GB3</w:instrText>
      </w:r>
      <w:r>
        <w:rPr>
          <w:rFonts w:ascii="仿宋_GB2312" w:hAnsi="仿宋_GB2312" w:eastAsia="仿宋_GB2312" w:cs="仿宋_GB2312"/>
          <w:b/>
        </w:rPr>
        <w:instrText xml:space="preserve"> </w:instrText>
      </w:r>
      <w:r>
        <w:rPr>
          <w:rFonts w:ascii="仿宋_GB2312" w:hAnsi="仿宋_GB2312" w:eastAsia="仿宋_GB2312" w:cs="仿宋_GB2312"/>
          <w:b/>
        </w:rPr>
        <w:fldChar w:fldCharType="separate"/>
      </w:r>
      <w:r>
        <w:rPr>
          <w:rFonts w:ascii="仿宋_GB2312" w:hAnsi="仿宋_GB2312" w:eastAsia="仿宋_GB2312" w:cs="仿宋_GB2312"/>
          <w:b/>
        </w:rPr>
        <w:t>⑤</w:t>
      </w:r>
      <w:r>
        <w:rPr>
          <w:rFonts w:ascii="仿宋_GB2312" w:hAnsi="仿宋_GB2312" w:eastAsia="仿宋_GB2312" w:cs="仿宋_GB2312"/>
          <w:b/>
        </w:rPr>
        <w:fldChar w:fldCharType="end"/>
      </w:r>
      <w:r>
        <w:rPr>
          <w:rFonts w:hint="eastAsia" w:ascii="仿宋_GB2312" w:hAnsi="仿宋_GB2312" w:eastAsia="仿宋_GB2312" w:cs="仿宋_GB2312"/>
          <w:b/>
        </w:rPr>
        <w:t>. 心电图机技术参数要求</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★12导心电波形能打印于卷纸和折叠的热敏纸；</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起搏器采样率不低于16,000Hz；</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无需选择灵敏度，自动检测起搏器工作状态；</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电压分辨率不低于1uV；</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模数转换不低于24位；</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开机出波形时间不超过5秒；</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内置存储容量不低于800份；</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电池单次充电至少可供打印500份报告；</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屏幕可预览完整的心电图报告；</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更改患者信息后，可自动再分析心电波形，并作出新的诊断；</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可以USB线连接外置打印机，将报告打印于A4纸；</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可支持条形码扫描枪接收患者；</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U盘可存储并转移PDF或XML格式的报告或支持无线或有线方式传输PDF或XML格式的报告；</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波形增益：2.5, 5, 10, 20, L=10 C=5, L=20 C=10 mm/mV, 自动；</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记录仪分辨率：水平40 dots/mm @ 25 mm/s, 垂直8 dots/mm；</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心电放大器：直流耦合；</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走纸速度：5, 12.5, 25 &amp; 50 mm/s；</w:t>
      </w:r>
    </w:p>
    <w:p>
      <w:pPr>
        <w:spacing w:line="420" w:lineRule="exact"/>
        <w:ind w:firstLine="420" w:firstLineChars="200"/>
        <w:rPr>
          <w:rFonts w:ascii="仿宋_GB2312" w:hAnsi="仿宋_GB2312" w:eastAsia="仿宋_GB2312" w:cs="仿宋_GB2312"/>
        </w:rPr>
      </w:pPr>
      <w:r>
        <w:rPr>
          <w:rFonts w:hint="eastAsia" w:ascii="仿宋_GB2312" w:hAnsi="仿宋_GB2312" w:eastAsia="仿宋_GB2312" w:cs="仿宋_GB2312"/>
        </w:rPr>
        <w:t>重量不大于1.</w:t>
      </w:r>
      <w:r>
        <w:rPr>
          <w:rFonts w:ascii="仿宋_GB2312" w:hAnsi="仿宋_GB2312" w:eastAsia="仿宋_GB2312" w:cs="仿宋_GB2312"/>
        </w:rPr>
        <w:t>5</w:t>
      </w:r>
      <w:r>
        <w:rPr>
          <w:rFonts w:hint="eastAsia" w:ascii="仿宋_GB2312" w:hAnsi="仿宋_GB2312" w:eastAsia="仿宋_GB2312" w:cs="仿宋_GB2312"/>
        </w:rPr>
        <w:t>Kg；</w:t>
      </w:r>
    </w:p>
    <w:p>
      <w:bookmarkStart w:id="2" w:name="_GoBack"/>
      <w:bookmarkEnd w:id="2"/>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小标宋简体">
    <w:altName w:val="黑体"/>
    <w:panose1 w:val="00000000000000000000"/>
    <w:charset w:val="86"/>
    <w:family w:val="script"/>
    <w:pitch w:val="default"/>
    <w:sig w:usb0="00000000" w:usb1="00000000" w:usb2="00000010" w:usb3="00000000" w:csb0="00040000" w:csb1="00000000"/>
  </w:font>
  <w:font w:name="等线">
    <w:panose1 w:val="02010600030101010101"/>
    <w:charset w:val="86"/>
    <w:family w:val="modern"/>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1"/>
      </w:pBdr>
      <w:rPr>
        <w:kern w:val="0"/>
        <w:sz w:val="20"/>
      </w:rPr>
    </w:pPr>
  </w:p>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4</w:t>
    </w:r>
    <w:r>
      <w:fldChar w:fldCharType="end"/>
    </w:r>
    <w:r>
      <w:t xml:space="preserve">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rPr>
    </w:pPr>
    <w:r>
      <w:rPr>
        <w:rFonts w:hint="eastAsia" w:ascii="宋体" w:hAnsi="宋体"/>
      </w:rPr>
      <w:t>首钢长治钢铁有限公司医院紧急配置负压救护车辆项目招标文件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7A4C54"/>
    <w:rsid w:val="00054428"/>
    <w:rsid w:val="000622A4"/>
    <w:rsid w:val="00085A29"/>
    <w:rsid w:val="000A34DE"/>
    <w:rsid w:val="000C1D9C"/>
    <w:rsid w:val="000F441B"/>
    <w:rsid w:val="00165233"/>
    <w:rsid w:val="001D6552"/>
    <w:rsid w:val="001F5FE7"/>
    <w:rsid w:val="002078A8"/>
    <w:rsid w:val="0025700D"/>
    <w:rsid w:val="00274A19"/>
    <w:rsid w:val="00281D3F"/>
    <w:rsid w:val="002B67C6"/>
    <w:rsid w:val="002C7940"/>
    <w:rsid w:val="00344F2E"/>
    <w:rsid w:val="00352124"/>
    <w:rsid w:val="003557BA"/>
    <w:rsid w:val="003871AF"/>
    <w:rsid w:val="003C0F87"/>
    <w:rsid w:val="003E0FC1"/>
    <w:rsid w:val="0040053A"/>
    <w:rsid w:val="00415862"/>
    <w:rsid w:val="004A4AED"/>
    <w:rsid w:val="004A73A1"/>
    <w:rsid w:val="0055732A"/>
    <w:rsid w:val="005F1B5B"/>
    <w:rsid w:val="005F2E6D"/>
    <w:rsid w:val="006A235F"/>
    <w:rsid w:val="006E7F63"/>
    <w:rsid w:val="006F5611"/>
    <w:rsid w:val="00700299"/>
    <w:rsid w:val="0079304C"/>
    <w:rsid w:val="007A38AF"/>
    <w:rsid w:val="007A4C54"/>
    <w:rsid w:val="007B455C"/>
    <w:rsid w:val="007C1B96"/>
    <w:rsid w:val="0083035D"/>
    <w:rsid w:val="00874DDC"/>
    <w:rsid w:val="009030FE"/>
    <w:rsid w:val="009375F1"/>
    <w:rsid w:val="009476FC"/>
    <w:rsid w:val="009A35A9"/>
    <w:rsid w:val="009D5897"/>
    <w:rsid w:val="00A14B31"/>
    <w:rsid w:val="00A46C2B"/>
    <w:rsid w:val="00AC4A40"/>
    <w:rsid w:val="00AC5226"/>
    <w:rsid w:val="00B01BE2"/>
    <w:rsid w:val="00B0766B"/>
    <w:rsid w:val="00B316DD"/>
    <w:rsid w:val="00B52B69"/>
    <w:rsid w:val="00B755D5"/>
    <w:rsid w:val="00BE3C57"/>
    <w:rsid w:val="00C94BCE"/>
    <w:rsid w:val="00CE58F2"/>
    <w:rsid w:val="00CF1E10"/>
    <w:rsid w:val="00D5035D"/>
    <w:rsid w:val="00DF7753"/>
    <w:rsid w:val="00E8245C"/>
    <w:rsid w:val="00E83CB1"/>
    <w:rsid w:val="00EC4566"/>
    <w:rsid w:val="00EE7DD8"/>
    <w:rsid w:val="00F060C5"/>
    <w:rsid w:val="00FA7424"/>
    <w:rsid w:val="4F283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0"/>
    <w:rPr>
      <w:rFonts w:ascii="宋体" w:hAnsi="Courier New"/>
      <w:szCs w:val="20"/>
    </w:rPr>
  </w:style>
  <w:style w:type="paragraph" w:styleId="3">
    <w:name w:val="Date"/>
    <w:basedOn w:val="1"/>
    <w:next w:val="1"/>
    <w:link w:val="14"/>
    <w:qFormat/>
    <w:uiPriority w:val="0"/>
    <w:rPr>
      <w:rFonts w:ascii="Times New Roman" w:hAnsi="Times New Roman"/>
      <w:sz w:val="28"/>
      <w:szCs w:val="20"/>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5"/>
    <w:qFormat/>
    <w:uiPriority w:val="0"/>
    <w:pPr>
      <w:snapToGrid w:val="0"/>
      <w:jc w:val="left"/>
    </w:pPr>
    <w:rPr>
      <w:rFonts w:ascii="Times New Roman" w:hAnsi="Times New Roman"/>
      <w:sz w:val="18"/>
      <w:szCs w:val="18"/>
    </w:rPr>
  </w:style>
  <w:style w:type="table" w:styleId="8">
    <w:name w:val="Table Grid"/>
    <w:basedOn w:val="7"/>
    <w:unhideWhenUsed/>
    <w:qFormat/>
    <w:uiPriority w:val="99"/>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眉 Char"/>
    <w:basedOn w:val="9"/>
    <w:link w:val="5"/>
    <w:semiHidden/>
    <w:qFormat/>
    <w:uiPriority w:val="0"/>
    <w:rPr>
      <w:sz w:val="18"/>
      <w:szCs w:val="18"/>
    </w:rPr>
  </w:style>
  <w:style w:type="character" w:customStyle="1" w:styleId="11">
    <w:name w:val="页脚 Char"/>
    <w:basedOn w:val="9"/>
    <w:link w:val="4"/>
    <w:semiHidden/>
    <w:uiPriority w:val="0"/>
    <w:rPr>
      <w:sz w:val="18"/>
      <w:szCs w:val="18"/>
    </w:rPr>
  </w:style>
  <w:style w:type="paragraph" w:customStyle="1" w:styleId="1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rPr>
  </w:style>
  <w:style w:type="character" w:customStyle="1" w:styleId="13">
    <w:name w:val="纯文本 Char"/>
    <w:basedOn w:val="9"/>
    <w:link w:val="2"/>
    <w:qFormat/>
    <w:uiPriority w:val="0"/>
    <w:rPr>
      <w:rFonts w:ascii="宋体" w:hAnsi="Courier New" w:eastAsia="宋体" w:cs="Times New Roman"/>
      <w:szCs w:val="20"/>
    </w:rPr>
  </w:style>
  <w:style w:type="character" w:customStyle="1" w:styleId="14">
    <w:name w:val="日期 Char"/>
    <w:basedOn w:val="9"/>
    <w:link w:val="3"/>
    <w:qFormat/>
    <w:uiPriority w:val="0"/>
    <w:rPr>
      <w:rFonts w:ascii="Times New Roman" w:hAnsi="Times New Roman" w:eastAsia="宋体" w:cs="Times New Roman"/>
      <w:sz w:val="28"/>
      <w:szCs w:val="20"/>
    </w:rPr>
  </w:style>
  <w:style w:type="character" w:customStyle="1" w:styleId="15">
    <w:name w:val="脚注文本 Char"/>
    <w:basedOn w:val="9"/>
    <w:link w:val="6"/>
    <w:qFormat/>
    <w:uiPriority w:val="0"/>
    <w:rPr>
      <w:rFonts w:ascii="Times New Roman" w:hAnsi="Times New Roman" w:eastAsia="宋体" w:cs="Times New Roman"/>
      <w:sz w:val="18"/>
      <w:szCs w:val="18"/>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Pages>
  <Words>14357</Words>
  <Characters>15571</Characters>
  <Lines>128</Lines>
  <Paragraphs>36</Paragraphs>
  <TotalTime>183</TotalTime>
  <ScaleCrop>false</ScaleCrop>
  <LinksUpToDate>false</LinksUpToDate>
  <CharactersWithSpaces>16970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2022-07-21T00:47:00Z</dcterms:created>
  <dc:creator>Administrator</dc:creator>
  <cp:lastModifiedBy>Administrator</cp:lastModifiedBy>
  <dcterms:modified xsi:type="dcterms:W3CDTF">2022-07-29T07:58:35Z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4D6ECB87859F49729817911ED268AE35</vt:lpwstr>
  </property>
</Properties>
</file>